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190" w:rsidRPr="005B15D9" w:rsidRDefault="00353190" w:rsidP="00353190">
      <w:pPr>
        <w:spacing w:line="312" w:lineRule="auto"/>
        <w:rPr>
          <w:rFonts w:ascii="Arial" w:hAnsi="Arial" w:cs="Arial"/>
        </w:rPr>
      </w:pPr>
      <w:r w:rsidRPr="005B15D9">
        <w:rPr>
          <w:rFonts w:ascii="Arial" w:hAnsi="Arial" w:cs="Arial"/>
        </w:rPr>
        <w:t>LOTEAMENTOS IRREGULARES EM ÁREA DE RISCO A ESCORREGAMENTOS</w:t>
      </w:r>
      <w:r w:rsidR="001956BC">
        <w:rPr>
          <w:rFonts w:ascii="Arial" w:hAnsi="Arial" w:cs="Arial"/>
        </w:rPr>
        <w:t xml:space="preserve"> </w:t>
      </w:r>
      <w:r w:rsidRPr="005B15D9">
        <w:rPr>
          <w:rFonts w:ascii="Arial" w:hAnsi="Arial" w:cs="Arial"/>
        </w:rPr>
        <w:t>NO MUNICÍPIO DE SÃO JOSÉ DOS CAMPOS-SP: UM ESTUDO DOS LOTEAMENTOS ÁGUAS DE CANINDÚ I E II E CHACARAS HAVAI</w:t>
      </w:r>
    </w:p>
    <w:p w:rsidR="002B7390" w:rsidRPr="005B15D9" w:rsidRDefault="002B7390" w:rsidP="002B7390">
      <w:pPr>
        <w:spacing w:after="0" w:line="312" w:lineRule="auto"/>
        <w:jc w:val="right"/>
        <w:rPr>
          <w:rStyle w:val="hps"/>
          <w:rFonts w:ascii="Arial" w:hAnsi="Arial" w:cs="Arial"/>
          <w:b/>
        </w:rPr>
      </w:pPr>
    </w:p>
    <w:p w:rsidR="003E202E" w:rsidRPr="005B15D9" w:rsidRDefault="003E202E" w:rsidP="003E202E">
      <w:pPr>
        <w:spacing w:line="312" w:lineRule="auto"/>
        <w:jc w:val="both"/>
        <w:rPr>
          <w:rStyle w:val="hps"/>
          <w:rFonts w:ascii="Arial" w:hAnsi="Arial" w:cs="Arial"/>
          <w:i/>
        </w:rPr>
      </w:pPr>
      <w:r w:rsidRPr="005B15D9">
        <w:rPr>
          <w:rStyle w:val="hps"/>
          <w:rFonts w:ascii="Arial" w:hAnsi="Arial" w:cs="Arial"/>
          <w:b/>
          <w:i/>
        </w:rPr>
        <w:t>RESUMO:</w:t>
      </w:r>
      <w:r w:rsidRPr="005B15D9">
        <w:rPr>
          <w:rStyle w:val="hps"/>
          <w:rFonts w:ascii="Arial" w:hAnsi="Arial" w:cs="Arial"/>
          <w:i/>
        </w:rPr>
        <w:t xml:space="preserve"> Este artigo </w:t>
      </w:r>
      <w:r w:rsidRPr="005B15D9">
        <w:rPr>
          <w:rFonts w:ascii="Arial" w:hAnsi="Arial" w:cs="Arial"/>
          <w:i/>
        </w:rPr>
        <w:t xml:space="preserve">objetivou quantificar o crescimento das edificações nos loteamentos Águas do Canindú I e II e Chácaras Havaí, ambos irregulares e clandestinos no município de São José dos Campos. </w:t>
      </w:r>
      <w:r w:rsidRPr="005B15D9">
        <w:rPr>
          <w:rStyle w:val="hps"/>
          <w:rFonts w:ascii="Arial" w:hAnsi="Arial" w:cs="Arial"/>
          <w:i/>
        </w:rPr>
        <w:t xml:space="preserve">Estes se localizam na região norte da cidade, a qual é caracterizada por paisagens típicas serranas do Vale do Paraíba com feições de morros, serras e picos. Ambos os Loteamentos apresentam ocupações urbanas que não obedecem aos aspectos técnicos de construção, instalando-se em declividades impróprias, com condições precárias para recebimento das águas pluviais e </w:t>
      </w:r>
      <w:r w:rsidRPr="005B15D9">
        <w:rPr>
          <w:rStyle w:val="hps"/>
          <w:rFonts w:ascii="Arial" w:hAnsi="Arial" w:cs="Arial"/>
        </w:rPr>
        <w:t>servidas</w:t>
      </w:r>
      <w:r w:rsidRPr="005B15D9">
        <w:rPr>
          <w:rStyle w:val="hps"/>
          <w:rFonts w:ascii="Arial" w:hAnsi="Arial" w:cs="Arial"/>
          <w:i/>
        </w:rPr>
        <w:t xml:space="preserve">. A somatória dos parâmetros referentes ao meio físico restrito às edificações e as construções desprovidas de conhecimento técnico, resultam em ocorrências de escorregamento em diferentes graus de risco na localidade. </w:t>
      </w:r>
    </w:p>
    <w:p w:rsidR="003E202E" w:rsidRPr="005B15D9" w:rsidRDefault="003E202E" w:rsidP="003E202E">
      <w:pPr>
        <w:spacing w:line="312" w:lineRule="auto"/>
        <w:jc w:val="both"/>
        <w:rPr>
          <w:rStyle w:val="hps"/>
          <w:rFonts w:ascii="Arial" w:hAnsi="Arial" w:cs="Arial"/>
          <w:i/>
        </w:rPr>
      </w:pPr>
      <w:r w:rsidRPr="005B15D9">
        <w:rPr>
          <w:rStyle w:val="hps"/>
          <w:rFonts w:ascii="Arial" w:hAnsi="Arial" w:cs="Arial"/>
          <w:b/>
          <w:i/>
        </w:rPr>
        <w:t>Palavras-Chave:</w:t>
      </w:r>
      <w:r w:rsidRPr="005B15D9">
        <w:rPr>
          <w:rStyle w:val="hps"/>
          <w:rFonts w:ascii="Arial" w:hAnsi="Arial" w:cs="Arial"/>
          <w:i/>
        </w:rPr>
        <w:t xml:space="preserve"> Urbanização; Áreas de Risco; </w:t>
      </w:r>
      <w:r w:rsidR="00DC6850" w:rsidRPr="005B15D9">
        <w:rPr>
          <w:rStyle w:val="hps"/>
          <w:rFonts w:ascii="Arial" w:hAnsi="Arial" w:cs="Arial"/>
          <w:i/>
        </w:rPr>
        <w:t>Edificações</w:t>
      </w:r>
      <w:r w:rsidRPr="005B15D9">
        <w:rPr>
          <w:rStyle w:val="hps"/>
          <w:rFonts w:ascii="Arial" w:hAnsi="Arial" w:cs="Arial"/>
          <w:i/>
        </w:rPr>
        <w:t>; São José dos Campos.</w:t>
      </w:r>
    </w:p>
    <w:p w:rsidR="003E202E" w:rsidRPr="005B15D9" w:rsidRDefault="003E202E" w:rsidP="003E202E">
      <w:pPr>
        <w:spacing w:after="0" w:line="312" w:lineRule="auto"/>
        <w:rPr>
          <w:rStyle w:val="hps"/>
          <w:rFonts w:ascii="Arial" w:hAnsi="Arial" w:cs="Arial"/>
          <w:b/>
        </w:rPr>
      </w:pPr>
    </w:p>
    <w:p w:rsidR="002B7390" w:rsidRPr="005B15D9" w:rsidRDefault="002B7390" w:rsidP="002B7390">
      <w:pPr>
        <w:spacing w:line="312" w:lineRule="auto"/>
        <w:jc w:val="both"/>
        <w:rPr>
          <w:rStyle w:val="hps"/>
          <w:rFonts w:ascii="Arial" w:hAnsi="Arial" w:cs="Arial"/>
          <w:i/>
          <w:lang w:val="en-US"/>
        </w:rPr>
      </w:pPr>
      <w:r w:rsidRPr="005B15D9">
        <w:rPr>
          <w:rStyle w:val="hps"/>
          <w:rFonts w:ascii="Arial" w:hAnsi="Arial" w:cs="Arial"/>
          <w:b/>
          <w:i/>
          <w:lang w:val="en-US"/>
        </w:rPr>
        <w:t>ABSTRACT:</w:t>
      </w:r>
      <w:r w:rsidR="00622EB6" w:rsidRPr="005B15D9">
        <w:rPr>
          <w:rStyle w:val="hps"/>
          <w:rFonts w:ascii="Arial" w:hAnsi="Arial" w:cs="Arial"/>
          <w:i/>
          <w:lang w:val="en-US"/>
        </w:rPr>
        <w:t>This article aimed to quantify the growth of buildings on neighborhoods irregular and illegal Aguas do Canindú and ChacarasHavai, in the São José dos Campos municipality. These are located in the northern region of the city, which is characterized by mountainous landscapes typical of the Paraiba Valley with features of hills, mountains and peaks. Both neighborhoods have urban occupations that do not comply with the technical aspects of civil construction, settling in improper slopes with poor conditions for receiving rainwater and wastewater. The sum of the parameters relating to physical envi</w:t>
      </w:r>
      <w:r w:rsidR="0028427C" w:rsidRPr="005B15D9">
        <w:rPr>
          <w:rStyle w:val="hps"/>
          <w:rFonts w:ascii="Arial" w:hAnsi="Arial" w:cs="Arial"/>
          <w:i/>
          <w:lang w:val="en-US"/>
        </w:rPr>
        <w:t xml:space="preserve">ronment restricted to buildings </w:t>
      </w:r>
      <w:r w:rsidR="00622EB6" w:rsidRPr="005B15D9">
        <w:rPr>
          <w:rStyle w:val="hps"/>
          <w:rFonts w:ascii="Arial" w:hAnsi="Arial" w:cs="Arial"/>
          <w:i/>
          <w:lang w:val="en-US"/>
        </w:rPr>
        <w:t>and the constructions devoid of technical knowledge, will result in occurrences of landslides in different degrees of risk in the locality.</w:t>
      </w:r>
    </w:p>
    <w:p w:rsidR="002B7390" w:rsidRDefault="002B7390" w:rsidP="002B7390">
      <w:pPr>
        <w:spacing w:line="312" w:lineRule="auto"/>
        <w:rPr>
          <w:rStyle w:val="hps"/>
          <w:rFonts w:ascii="Arial" w:hAnsi="Arial" w:cs="Arial"/>
          <w:i/>
          <w:lang w:val="en-US"/>
        </w:rPr>
      </w:pPr>
      <w:r w:rsidRPr="005B15D9">
        <w:rPr>
          <w:rStyle w:val="hps"/>
          <w:rFonts w:ascii="Arial" w:hAnsi="Arial" w:cs="Arial"/>
          <w:b/>
          <w:i/>
          <w:lang w:val="en-US"/>
        </w:rPr>
        <w:t>Keywords:</w:t>
      </w:r>
      <w:r w:rsidRPr="005B15D9">
        <w:rPr>
          <w:rStyle w:val="hps"/>
          <w:rFonts w:ascii="Arial" w:hAnsi="Arial" w:cs="Arial"/>
          <w:i/>
          <w:lang w:val="en-US"/>
        </w:rPr>
        <w:t xml:space="preserve">Urbanization; Risk Areas; </w:t>
      </w:r>
      <w:r w:rsidR="007E1FB1" w:rsidRPr="005B15D9">
        <w:rPr>
          <w:rStyle w:val="hps"/>
          <w:rFonts w:ascii="Arial" w:hAnsi="Arial" w:cs="Arial"/>
          <w:i/>
          <w:lang w:val="en-US"/>
        </w:rPr>
        <w:t>Buildings</w:t>
      </w:r>
      <w:r w:rsidR="0028427C" w:rsidRPr="005B15D9">
        <w:rPr>
          <w:rStyle w:val="hps"/>
          <w:rFonts w:ascii="Arial" w:hAnsi="Arial" w:cs="Arial"/>
          <w:i/>
          <w:lang w:val="en-US"/>
        </w:rPr>
        <w:t>; Sã</w:t>
      </w:r>
      <w:r w:rsidRPr="005B15D9">
        <w:rPr>
          <w:rStyle w:val="hps"/>
          <w:rFonts w:ascii="Arial" w:hAnsi="Arial" w:cs="Arial"/>
          <w:i/>
          <w:lang w:val="en-US"/>
        </w:rPr>
        <w:t>o Jose dos Campos.</w:t>
      </w:r>
    </w:p>
    <w:p w:rsidR="004C273A" w:rsidRDefault="004C273A" w:rsidP="002B7390">
      <w:pPr>
        <w:spacing w:line="312" w:lineRule="auto"/>
        <w:rPr>
          <w:rStyle w:val="hps"/>
          <w:rFonts w:ascii="Arial" w:hAnsi="Arial" w:cs="Arial"/>
          <w:i/>
          <w:lang w:val="en-US"/>
        </w:rPr>
      </w:pPr>
    </w:p>
    <w:p w:rsidR="004C273A" w:rsidRDefault="004C273A" w:rsidP="002B7390">
      <w:pPr>
        <w:spacing w:line="312" w:lineRule="auto"/>
        <w:rPr>
          <w:rStyle w:val="hps"/>
          <w:rFonts w:ascii="Arial" w:hAnsi="Arial" w:cs="Arial"/>
          <w:i/>
          <w:lang w:val="en-US"/>
        </w:rPr>
      </w:pPr>
    </w:p>
    <w:p w:rsidR="004C273A" w:rsidRDefault="004C273A" w:rsidP="002B7390">
      <w:pPr>
        <w:spacing w:line="312" w:lineRule="auto"/>
        <w:rPr>
          <w:rStyle w:val="hps"/>
          <w:rFonts w:ascii="Arial" w:hAnsi="Arial" w:cs="Arial"/>
          <w:i/>
          <w:lang w:val="en-US"/>
        </w:rPr>
      </w:pPr>
    </w:p>
    <w:p w:rsidR="004C273A" w:rsidRDefault="004C273A" w:rsidP="002B7390">
      <w:pPr>
        <w:spacing w:line="312" w:lineRule="auto"/>
        <w:rPr>
          <w:rStyle w:val="hps"/>
          <w:rFonts w:ascii="Arial" w:hAnsi="Arial" w:cs="Arial"/>
          <w:i/>
          <w:lang w:val="en-US"/>
        </w:rPr>
      </w:pPr>
    </w:p>
    <w:p w:rsidR="004C273A" w:rsidRDefault="004C273A" w:rsidP="002B7390">
      <w:pPr>
        <w:spacing w:line="312" w:lineRule="auto"/>
        <w:rPr>
          <w:rStyle w:val="hps"/>
          <w:rFonts w:ascii="Arial" w:hAnsi="Arial" w:cs="Arial"/>
          <w:i/>
          <w:lang w:val="en-US"/>
        </w:rPr>
      </w:pPr>
    </w:p>
    <w:p w:rsidR="004C273A" w:rsidRDefault="004C273A" w:rsidP="002B7390">
      <w:pPr>
        <w:spacing w:line="312" w:lineRule="auto"/>
        <w:rPr>
          <w:rStyle w:val="hps"/>
          <w:rFonts w:ascii="Arial" w:hAnsi="Arial" w:cs="Arial"/>
          <w:i/>
          <w:lang w:val="en-US"/>
        </w:rPr>
      </w:pPr>
    </w:p>
    <w:p w:rsidR="004C273A" w:rsidRPr="005B15D9" w:rsidRDefault="004C273A" w:rsidP="002B7390">
      <w:pPr>
        <w:spacing w:line="312" w:lineRule="auto"/>
        <w:rPr>
          <w:rStyle w:val="hps"/>
          <w:rFonts w:ascii="Arial" w:hAnsi="Arial" w:cs="Arial"/>
          <w:i/>
          <w:lang w:val="en-US"/>
        </w:rPr>
      </w:pPr>
    </w:p>
    <w:p w:rsidR="002B7390" w:rsidRPr="005B15D9" w:rsidRDefault="0028427C" w:rsidP="00141485">
      <w:pPr>
        <w:spacing w:line="312" w:lineRule="auto"/>
        <w:rPr>
          <w:rFonts w:ascii="Arial" w:hAnsi="Arial" w:cs="Arial"/>
          <w:b/>
        </w:rPr>
      </w:pPr>
      <w:r w:rsidRPr="005B15D9">
        <w:rPr>
          <w:rFonts w:ascii="Arial" w:hAnsi="Arial" w:cs="Arial"/>
          <w:b/>
        </w:rPr>
        <w:lastRenderedPageBreak/>
        <w:t xml:space="preserve">1. </w:t>
      </w:r>
      <w:r w:rsidR="002B7390" w:rsidRPr="005B15D9">
        <w:rPr>
          <w:rFonts w:ascii="Arial" w:hAnsi="Arial" w:cs="Arial"/>
          <w:b/>
        </w:rPr>
        <w:t>INTRODUÇÃO</w:t>
      </w:r>
    </w:p>
    <w:p w:rsidR="002B7390" w:rsidRPr="005B15D9" w:rsidRDefault="002B7390" w:rsidP="005B15D9">
      <w:pPr>
        <w:spacing w:after="0" w:line="312" w:lineRule="auto"/>
        <w:ind w:firstLine="567"/>
        <w:jc w:val="both"/>
        <w:rPr>
          <w:rFonts w:ascii="Arial" w:hAnsi="Arial" w:cs="Arial"/>
        </w:rPr>
      </w:pPr>
      <w:r w:rsidRPr="005B15D9">
        <w:rPr>
          <w:rFonts w:ascii="Arial" w:hAnsi="Arial" w:cs="Arial"/>
        </w:rPr>
        <w:t>O rápido e intenso processo de industrialização e urbanização a qual o Brasil vivenciou nas últimas décadas, principalmente a partir de 1950, aliado a uma carência em políticas públicas de uso e ocupação do solo urbano e</w:t>
      </w:r>
      <w:r w:rsidR="00F457D3">
        <w:rPr>
          <w:rFonts w:ascii="Arial" w:hAnsi="Arial" w:cs="Arial"/>
        </w:rPr>
        <w:t xml:space="preserve"> sociais</w:t>
      </w:r>
      <w:r w:rsidRPr="005B15D9">
        <w:rPr>
          <w:rFonts w:ascii="Arial" w:hAnsi="Arial" w:cs="Arial"/>
        </w:rPr>
        <w:t>, certamente colaborou e ainda contribui com a apropriação de áreas geoambientais desfavoráveis para habitação, como é o caso das encostas em áreas urbanas.</w:t>
      </w:r>
    </w:p>
    <w:p w:rsidR="002D2334" w:rsidRDefault="001C1F5D" w:rsidP="002D2334">
      <w:pPr>
        <w:spacing w:after="0" w:line="312" w:lineRule="auto"/>
        <w:ind w:firstLine="567"/>
        <w:jc w:val="both"/>
        <w:rPr>
          <w:rFonts w:ascii="Arial" w:hAnsi="Arial" w:cs="Arial"/>
        </w:rPr>
      </w:pPr>
      <w:r>
        <w:rPr>
          <w:rFonts w:ascii="Arial" w:hAnsi="Arial" w:cs="Arial"/>
        </w:rPr>
        <w:t>Segundo Guerra (2011)as encostas independente de sua localização</w:t>
      </w:r>
      <w:r w:rsidR="002B7390" w:rsidRPr="005B15D9">
        <w:rPr>
          <w:rFonts w:ascii="Arial" w:hAnsi="Arial" w:cs="Arial"/>
        </w:rPr>
        <w:t xml:space="preserve">apresentam </w:t>
      </w:r>
      <w:r>
        <w:rPr>
          <w:rFonts w:ascii="Arial" w:hAnsi="Arial" w:cs="Arial"/>
        </w:rPr>
        <w:t xml:space="preserve">características </w:t>
      </w:r>
      <w:r w:rsidR="002B7390" w:rsidRPr="005B15D9">
        <w:rPr>
          <w:rFonts w:ascii="Arial" w:hAnsi="Arial" w:cs="Arial"/>
        </w:rPr>
        <w:t>próprias</w:t>
      </w:r>
      <w:r w:rsidR="002D2334">
        <w:rPr>
          <w:rFonts w:ascii="Arial" w:hAnsi="Arial" w:cs="Arial"/>
        </w:rPr>
        <w:t xml:space="preserve">, mas </w:t>
      </w:r>
      <w:r>
        <w:rPr>
          <w:rFonts w:ascii="Arial" w:hAnsi="Arial" w:cs="Arial"/>
        </w:rPr>
        <w:t>em especial</w:t>
      </w:r>
      <w:r w:rsidR="002D2334">
        <w:rPr>
          <w:rFonts w:ascii="Arial" w:hAnsi="Arial" w:cs="Arial"/>
        </w:rPr>
        <w:t>,</w:t>
      </w:r>
      <w:r>
        <w:rPr>
          <w:rFonts w:ascii="Arial" w:hAnsi="Arial" w:cs="Arial"/>
        </w:rPr>
        <w:t xml:space="preserve"> as encontradas nas áreas urbanas, sofrem tantas transformações ao longo do tempo que se tornam </w:t>
      </w:r>
      <w:r w:rsidR="002D2334">
        <w:rPr>
          <w:rFonts w:ascii="Arial" w:hAnsi="Arial" w:cs="Arial"/>
        </w:rPr>
        <w:t>distintas de encostas das áreas rurais</w:t>
      </w:r>
      <w:r>
        <w:rPr>
          <w:rFonts w:ascii="Arial" w:hAnsi="Arial" w:cs="Arial"/>
        </w:rPr>
        <w:t xml:space="preserve">. </w:t>
      </w:r>
    </w:p>
    <w:p w:rsidR="006D6273" w:rsidRDefault="006D6273" w:rsidP="001C1F5D">
      <w:pPr>
        <w:spacing w:after="0" w:line="312" w:lineRule="auto"/>
        <w:ind w:firstLine="567"/>
        <w:jc w:val="both"/>
        <w:rPr>
          <w:rFonts w:ascii="Arial" w:hAnsi="Arial" w:cs="Arial"/>
        </w:rPr>
      </w:pPr>
      <w:r>
        <w:rPr>
          <w:rFonts w:ascii="Arial" w:hAnsi="Arial" w:cs="Arial"/>
        </w:rPr>
        <w:t>Conforme P</w:t>
      </w:r>
      <w:r w:rsidR="007B25EC">
        <w:rPr>
          <w:rFonts w:ascii="Arial" w:hAnsi="Arial" w:cs="Arial"/>
        </w:rPr>
        <w:t>o</w:t>
      </w:r>
      <w:r>
        <w:rPr>
          <w:rFonts w:ascii="Arial" w:hAnsi="Arial" w:cs="Arial"/>
        </w:rPr>
        <w:t>livanov e Barroso (2011) em períodos de pluviosidade excessiva a freqüência de acontecimentos de acidentes em encostas como os escorregamentos urbanos são maiores.</w:t>
      </w:r>
    </w:p>
    <w:p w:rsidR="009B1661" w:rsidRDefault="002B7390" w:rsidP="001C1F5D">
      <w:pPr>
        <w:spacing w:after="0" w:line="312" w:lineRule="auto"/>
        <w:ind w:firstLine="567"/>
        <w:jc w:val="both"/>
        <w:rPr>
          <w:rFonts w:ascii="Arial" w:hAnsi="Arial" w:cs="Arial"/>
        </w:rPr>
      </w:pPr>
      <w:r w:rsidRPr="005B15D9">
        <w:rPr>
          <w:rFonts w:ascii="Arial" w:hAnsi="Arial" w:cs="Arial"/>
        </w:rPr>
        <w:t>Nos últimos anos, o Brasil tem vivenciado cada vez mais desastres</w:t>
      </w:r>
      <w:r w:rsidR="006D6273">
        <w:rPr>
          <w:rFonts w:ascii="Arial" w:hAnsi="Arial" w:cs="Arial"/>
        </w:rPr>
        <w:t xml:space="preserve">dessa ordem. </w:t>
      </w:r>
      <w:r w:rsidRPr="005B15D9">
        <w:rPr>
          <w:rFonts w:ascii="Arial" w:hAnsi="Arial" w:cs="Arial"/>
        </w:rPr>
        <w:t>Para compreender os desastres, é importante visualizar e estudar principalmente como a config</w:t>
      </w:r>
      <w:r w:rsidR="00D214D5" w:rsidRPr="005B15D9">
        <w:rPr>
          <w:rFonts w:ascii="Arial" w:hAnsi="Arial" w:cs="Arial"/>
        </w:rPr>
        <w:t xml:space="preserve">uração espacial se desenvolveu. </w:t>
      </w:r>
    </w:p>
    <w:p w:rsidR="002B7390" w:rsidRPr="005B15D9" w:rsidRDefault="002B7390" w:rsidP="001C1F5D">
      <w:pPr>
        <w:spacing w:after="0" w:line="312" w:lineRule="auto"/>
        <w:ind w:firstLine="567"/>
        <w:jc w:val="both"/>
        <w:rPr>
          <w:rFonts w:ascii="Arial" w:hAnsi="Arial" w:cs="Arial"/>
        </w:rPr>
      </w:pPr>
      <w:r w:rsidRPr="005B15D9">
        <w:rPr>
          <w:rFonts w:ascii="Arial" w:hAnsi="Arial" w:cs="Arial"/>
        </w:rPr>
        <w:t>Para Carmo (2014)</w:t>
      </w:r>
    </w:p>
    <w:p w:rsidR="00D214D5" w:rsidRPr="005B15D9" w:rsidRDefault="00D214D5" w:rsidP="00D214D5">
      <w:pPr>
        <w:spacing w:after="0" w:line="312" w:lineRule="auto"/>
        <w:ind w:firstLine="567"/>
        <w:jc w:val="both"/>
        <w:rPr>
          <w:rFonts w:ascii="Arial" w:hAnsi="Arial" w:cs="Arial"/>
        </w:rPr>
      </w:pPr>
    </w:p>
    <w:p w:rsidR="002B7390" w:rsidRPr="005B15D9" w:rsidRDefault="002B7390" w:rsidP="002B7390">
      <w:pPr>
        <w:spacing w:line="240" w:lineRule="auto"/>
        <w:ind w:left="2268"/>
        <w:jc w:val="both"/>
        <w:rPr>
          <w:rFonts w:ascii="Arial" w:hAnsi="Arial" w:cs="Arial"/>
          <w:sz w:val="20"/>
          <w:szCs w:val="20"/>
        </w:rPr>
      </w:pPr>
      <w:r w:rsidRPr="005B15D9">
        <w:rPr>
          <w:rFonts w:ascii="Arial" w:hAnsi="Arial" w:cs="Arial"/>
          <w:sz w:val="20"/>
          <w:szCs w:val="20"/>
        </w:rPr>
        <w:t>Os desastres, assim como as cidades, são socialmente construídos. Os desastres, em sua maioria, são reveladores de quais espaços, econômico e social, estão reservados para os diferentes grupos sociais. E em que medida cada um desses grupos sociais está exposto aos riscos de desastres (CARMO, 2014, p.01).</w:t>
      </w:r>
    </w:p>
    <w:p w:rsidR="00D214D5" w:rsidRPr="005B15D9" w:rsidRDefault="00D214D5" w:rsidP="002B7390">
      <w:pPr>
        <w:spacing w:line="240" w:lineRule="auto"/>
        <w:ind w:left="2268"/>
        <w:jc w:val="both"/>
        <w:rPr>
          <w:rFonts w:ascii="Arial" w:hAnsi="Arial" w:cs="Arial"/>
          <w:sz w:val="20"/>
          <w:szCs w:val="20"/>
        </w:rPr>
      </w:pPr>
    </w:p>
    <w:p w:rsidR="002B7390" w:rsidRPr="005B15D9" w:rsidRDefault="002B7390" w:rsidP="00141485">
      <w:pPr>
        <w:spacing w:after="0" w:line="312" w:lineRule="auto"/>
        <w:ind w:firstLine="567"/>
        <w:jc w:val="both"/>
        <w:rPr>
          <w:rFonts w:ascii="Arial" w:hAnsi="Arial" w:cs="Arial"/>
        </w:rPr>
      </w:pPr>
      <w:r w:rsidRPr="005B15D9">
        <w:rPr>
          <w:rFonts w:ascii="Arial" w:hAnsi="Arial" w:cs="Arial"/>
        </w:rPr>
        <w:t xml:space="preserve">Carmo (2014) reitera que a desigualdade pode ser visualizada a partir da analise da apropriação do solo urbano, verificando como cada grupo social ocupa partes específicas das cidades que são normalmente ditadas pela capacidade econômica das famílias em relação ao mercado imobiliário. </w:t>
      </w:r>
    </w:p>
    <w:p w:rsidR="002B7390" w:rsidRPr="005B15D9" w:rsidRDefault="002B7390" w:rsidP="002B7390">
      <w:pPr>
        <w:spacing w:after="0" w:line="312" w:lineRule="auto"/>
        <w:ind w:firstLine="567"/>
        <w:jc w:val="both"/>
        <w:rPr>
          <w:rFonts w:ascii="Arial" w:hAnsi="Arial" w:cs="Arial"/>
          <w:sz w:val="20"/>
          <w:szCs w:val="20"/>
        </w:rPr>
      </w:pPr>
    </w:p>
    <w:p w:rsidR="002B7390" w:rsidRPr="005B15D9" w:rsidRDefault="002B7390" w:rsidP="002B7390">
      <w:pPr>
        <w:spacing w:after="0" w:line="240" w:lineRule="auto"/>
        <w:ind w:left="2268"/>
        <w:jc w:val="both"/>
        <w:rPr>
          <w:rFonts w:ascii="Arial" w:hAnsi="Arial" w:cs="Arial"/>
          <w:sz w:val="20"/>
          <w:szCs w:val="20"/>
        </w:rPr>
      </w:pPr>
      <w:r w:rsidRPr="005B15D9">
        <w:rPr>
          <w:rFonts w:ascii="Arial" w:hAnsi="Arial" w:cs="Arial"/>
          <w:sz w:val="20"/>
          <w:szCs w:val="20"/>
        </w:rPr>
        <w:t>A cidade desigual, constituída a partir de um processo de desenvolvimento concentrador de renda, está na gênese da concepção de “desastre como um processo socialmente construído” no caso brasileiro. Ou seja, mesmo que em muitos momentos a situação de desastre seja desencadeada por algum fenômeno “natural” (geralmente associado com o ciclo hidrológico, como chuva ou seca), esta situação se configura em desastre porque, por um lado, atinge populações humanas, ameaçando a vida de pessoas e seus bens materiais e imateriais, e, por outro, é resultante de processos de interação entre a dinâmica populacional e a dinâmica ambiental, concretizadas em uma forma específica, historicamente construída, de ocupação do espaço (CARMO, 2014, p.04).</w:t>
      </w:r>
    </w:p>
    <w:p w:rsidR="002B7390" w:rsidRPr="005B15D9" w:rsidRDefault="002B7390" w:rsidP="00D214D5">
      <w:pPr>
        <w:spacing w:after="0" w:line="312" w:lineRule="auto"/>
        <w:ind w:firstLineChars="567" w:firstLine="1134"/>
        <w:jc w:val="both"/>
        <w:rPr>
          <w:rFonts w:ascii="Arial" w:hAnsi="Arial" w:cs="Arial"/>
          <w:sz w:val="20"/>
          <w:szCs w:val="20"/>
        </w:rPr>
      </w:pP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 xml:space="preserve">Os escorregamentos são eventos naturais e fazem parte do processo morfogenético das vertentes. Porém, mudanças nas características naturais do relevo, </w:t>
      </w:r>
      <w:r w:rsidR="00585056">
        <w:rPr>
          <w:rFonts w:ascii="Arial" w:hAnsi="Arial" w:cs="Arial"/>
        </w:rPr>
        <w:t xml:space="preserve">como cortes de taludes para a construção, processo de mineração, construção de </w:t>
      </w:r>
      <w:r w:rsidR="00585056">
        <w:rPr>
          <w:rFonts w:ascii="Arial" w:hAnsi="Arial" w:cs="Arial"/>
        </w:rPr>
        <w:lastRenderedPageBreak/>
        <w:t xml:space="preserve">represas, passagem para estradas, entre outras formas, </w:t>
      </w:r>
      <w:r w:rsidRPr="005B15D9">
        <w:rPr>
          <w:rFonts w:ascii="Arial" w:hAnsi="Arial" w:cs="Arial"/>
        </w:rPr>
        <w:t xml:space="preserve">resultam em uma maior freqüência destes acontecimentos, que por vezes são catastróficos. </w:t>
      </w:r>
    </w:p>
    <w:p w:rsidR="002B7390" w:rsidRPr="005B15D9" w:rsidRDefault="002B7390" w:rsidP="00D214D5">
      <w:pPr>
        <w:spacing w:after="0" w:line="312" w:lineRule="auto"/>
        <w:ind w:right="45" w:firstLine="567"/>
        <w:jc w:val="both"/>
        <w:rPr>
          <w:rFonts w:ascii="Arial" w:hAnsi="Arial" w:cs="Arial"/>
          <w:b/>
          <w:bCs/>
        </w:rPr>
      </w:pPr>
      <w:r w:rsidRPr="005B15D9">
        <w:rPr>
          <w:rFonts w:ascii="Arial" w:hAnsi="Arial" w:cs="Arial"/>
        </w:rPr>
        <w:t>Para Tominaga (2012), os fatores que condicionam as ocorrências de escorregamentos são derivados dos elementos do meio físico e seguidamente do meio biótico. Tais elementos são classificados como Agentes Predisponentes e Agentes Efetivos.Para a autora, os agentes predisponentes correspondem ao conjunto das condições físicas e ambientais da localidade como geologia e topografia, entre outros. Estes não apresentam nenhuma interferência humana.</w:t>
      </w:r>
    </w:p>
    <w:p w:rsidR="00A45678" w:rsidRDefault="002B7390" w:rsidP="00D214D5">
      <w:pPr>
        <w:spacing w:after="0" w:line="312" w:lineRule="auto"/>
        <w:ind w:right="45" w:firstLine="567"/>
        <w:jc w:val="both"/>
        <w:rPr>
          <w:rFonts w:ascii="Arial" w:hAnsi="Arial" w:cs="Arial"/>
        </w:rPr>
      </w:pPr>
      <w:r w:rsidRPr="005B15D9">
        <w:rPr>
          <w:rFonts w:ascii="Arial" w:hAnsi="Arial" w:cs="Arial"/>
        </w:rPr>
        <w:t xml:space="preserve">Os agentes Efetivos são definidos por Tominaga (2012) como os fatores diretamente responsáveis pela ocorrência do processo geoambiental (escorregamento), incluindo a ação antrópica, a exemplo: pluviosidade, </w:t>
      </w:r>
      <w:r w:rsidR="00956000" w:rsidRPr="005B15D9">
        <w:rPr>
          <w:rFonts w:ascii="Arial" w:hAnsi="Arial" w:cs="Arial"/>
        </w:rPr>
        <w:t>desmatamento, alteração da geometria da encosta, lançamento de águas servidas no terreno, depósito de lixo e entulhos, etc..</w:t>
      </w:r>
      <w:r w:rsidRPr="005B15D9">
        <w:rPr>
          <w:rFonts w:ascii="Arial" w:hAnsi="Arial" w:cs="Arial"/>
        </w:rPr>
        <w:t xml:space="preserve"> Os Agentes Efetivos ainda podem ser considerados como Imediatos, que interferem de forma mais intensa: terremotos, chuva excessiva, ação humana etc. </w:t>
      </w:r>
    </w:p>
    <w:p w:rsidR="001225DE" w:rsidRDefault="001225DE" w:rsidP="001225DE">
      <w:pPr>
        <w:autoSpaceDE w:val="0"/>
        <w:autoSpaceDN w:val="0"/>
        <w:adjustRightInd w:val="0"/>
        <w:ind w:firstLine="567"/>
        <w:jc w:val="both"/>
        <w:rPr>
          <w:rFonts w:ascii="Arial" w:hAnsi="Arial" w:cs="Arial"/>
        </w:rPr>
      </w:pPr>
      <w:r>
        <w:rPr>
          <w:rFonts w:ascii="Arial" w:hAnsi="Arial" w:cs="Arial"/>
        </w:rPr>
        <w:t>Para Rolnik (1999) o urbanismo de risco é definido pela inseguridade seja do terreno ou da construção</w:t>
      </w:r>
      <w:r w:rsidR="009B1661">
        <w:rPr>
          <w:rFonts w:ascii="Arial" w:hAnsi="Arial" w:cs="Arial"/>
        </w:rPr>
        <w:t xml:space="preserve">, e, </w:t>
      </w:r>
      <w:r>
        <w:rPr>
          <w:rFonts w:ascii="Arial" w:hAnsi="Arial" w:cs="Arial"/>
        </w:rPr>
        <w:t>em alguns casos</w:t>
      </w:r>
      <w:r w:rsidR="009B1661">
        <w:rPr>
          <w:rFonts w:ascii="Arial" w:hAnsi="Arial" w:cs="Arial"/>
        </w:rPr>
        <w:t xml:space="preserve">,por uma </w:t>
      </w:r>
      <w:r>
        <w:rPr>
          <w:rFonts w:ascii="Arial" w:hAnsi="Arial" w:cs="Arial"/>
        </w:rPr>
        <w:t xml:space="preserve">condição jurídica </w:t>
      </w:r>
      <w:r w:rsidR="009B1661">
        <w:rPr>
          <w:rFonts w:ascii="Arial" w:hAnsi="Arial" w:cs="Arial"/>
        </w:rPr>
        <w:t>no registro de imóvel.</w:t>
      </w:r>
    </w:p>
    <w:p w:rsidR="001225DE" w:rsidRPr="009B1661" w:rsidRDefault="001225DE" w:rsidP="001225DE">
      <w:pPr>
        <w:autoSpaceDE w:val="0"/>
        <w:autoSpaceDN w:val="0"/>
        <w:adjustRightInd w:val="0"/>
        <w:ind w:left="2268"/>
        <w:jc w:val="both"/>
        <w:rPr>
          <w:rFonts w:ascii="Arial" w:hAnsi="Arial" w:cs="Arial"/>
          <w:sz w:val="24"/>
          <w:szCs w:val="24"/>
        </w:rPr>
      </w:pPr>
      <w:r w:rsidRPr="009B1661">
        <w:rPr>
          <w:rFonts w:ascii="Arial" w:hAnsi="Arial" w:cs="Arial"/>
          <w:sz w:val="20"/>
          <w:szCs w:val="20"/>
        </w:rPr>
        <w:t>O risco é, antes de mais nada, do morador: o barraco pode deslizar ou inundar com chuva, a drenagem e o esgoto podem se misturar nas baixadas – a saúde e a vida são assim ameaçadas (ROLNIK, 1999, p. 100).</w:t>
      </w:r>
    </w:p>
    <w:p w:rsidR="001225DE" w:rsidRPr="009B1661" w:rsidRDefault="001225DE" w:rsidP="00D214D5">
      <w:pPr>
        <w:spacing w:after="0" w:line="312" w:lineRule="auto"/>
        <w:ind w:right="45" w:firstLine="567"/>
        <w:jc w:val="both"/>
        <w:rPr>
          <w:rFonts w:ascii="Arial" w:hAnsi="Arial" w:cs="Arial"/>
        </w:rPr>
      </w:pPr>
    </w:p>
    <w:p w:rsidR="00980D90" w:rsidRPr="005B15D9" w:rsidRDefault="002B7390" w:rsidP="00D214D5">
      <w:pPr>
        <w:pStyle w:val="Textodecomentrio"/>
        <w:spacing w:after="0" w:line="312" w:lineRule="auto"/>
        <w:ind w:firstLine="567"/>
        <w:jc w:val="both"/>
        <w:rPr>
          <w:rFonts w:ascii="Arial" w:hAnsi="Arial" w:cs="Arial"/>
          <w:sz w:val="22"/>
          <w:szCs w:val="22"/>
        </w:rPr>
      </w:pPr>
      <w:r w:rsidRPr="005B15D9">
        <w:rPr>
          <w:rFonts w:ascii="Arial" w:hAnsi="Arial" w:cs="Arial"/>
          <w:sz w:val="22"/>
          <w:szCs w:val="22"/>
        </w:rPr>
        <w:t xml:space="preserve">Sob a ótica de que o processo de </w:t>
      </w:r>
      <w:r w:rsidR="00980D90" w:rsidRPr="005B15D9">
        <w:rPr>
          <w:rFonts w:ascii="Arial" w:hAnsi="Arial" w:cs="Arial"/>
          <w:sz w:val="22"/>
          <w:szCs w:val="22"/>
        </w:rPr>
        <w:t xml:space="preserve">escorregamento </w:t>
      </w:r>
      <w:r w:rsidRPr="005B15D9">
        <w:rPr>
          <w:rFonts w:ascii="Arial" w:hAnsi="Arial" w:cs="Arial"/>
          <w:sz w:val="22"/>
          <w:szCs w:val="22"/>
        </w:rPr>
        <w:t xml:space="preserve">é socialmente construído, o presente artigo objetivou quantificar o crescimento das edificações nos loteamentos Águas do Canindú I e II e Chácaras Havaí, ambos irregulares e clandestinos no município de São José dos </w:t>
      </w:r>
      <w:r w:rsidR="007B710D" w:rsidRPr="005B15D9">
        <w:rPr>
          <w:rFonts w:ascii="Arial" w:hAnsi="Arial" w:cs="Arial"/>
          <w:sz w:val="22"/>
          <w:szCs w:val="22"/>
        </w:rPr>
        <w:t xml:space="preserve">Campos. </w:t>
      </w:r>
      <w:r w:rsidR="00980D90" w:rsidRPr="005B15D9">
        <w:rPr>
          <w:rFonts w:ascii="Arial" w:hAnsi="Arial" w:cs="Arial"/>
          <w:sz w:val="22"/>
          <w:szCs w:val="22"/>
        </w:rPr>
        <w:t xml:space="preserve">Pois </w:t>
      </w:r>
      <w:r w:rsidR="007B710D" w:rsidRPr="005B15D9">
        <w:rPr>
          <w:rFonts w:ascii="Arial" w:hAnsi="Arial" w:cs="Arial"/>
          <w:sz w:val="22"/>
          <w:szCs w:val="22"/>
        </w:rPr>
        <w:t>se trata</w:t>
      </w:r>
      <w:r w:rsidR="00980D90" w:rsidRPr="005B15D9">
        <w:rPr>
          <w:rFonts w:ascii="Arial" w:hAnsi="Arial" w:cs="Arial"/>
          <w:sz w:val="22"/>
          <w:szCs w:val="22"/>
        </w:rPr>
        <w:t xml:space="preserve"> de áreas irregulares e clandestinas que apresentam diversas ocorrências de escorregamentos nos últimos anos. </w:t>
      </w:r>
    </w:p>
    <w:p w:rsidR="00980D90" w:rsidRPr="005B15D9" w:rsidRDefault="00716C35" w:rsidP="00D214D5">
      <w:pPr>
        <w:spacing w:after="0" w:line="312" w:lineRule="auto"/>
        <w:ind w:firstLine="567"/>
        <w:jc w:val="both"/>
        <w:rPr>
          <w:rFonts w:ascii="Arial" w:hAnsi="Arial" w:cs="Arial"/>
        </w:rPr>
      </w:pPr>
      <w:r w:rsidRPr="005B15D9">
        <w:rPr>
          <w:rFonts w:ascii="Arial" w:hAnsi="Arial" w:cs="Arial"/>
          <w:bCs/>
        </w:rPr>
        <w:t xml:space="preserve">Estudos relacionados ao risco de escorregamento em </w:t>
      </w:r>
      <w:r w:rsidR="00980D90" w:rsidRPr="005B15D9">
        <w:rPr>
          <w:rFonts w:ascii="Arial" w:hAnsi="Arial" w:cs="Arial"/>
          <w:bCs/>
        </w:rPr>
        <w:t xml:space="preserve">encostas </w:t>
      </w:r>
      <w:r w:rsidRPr="005B15D9">
        <w:rPr>
          <w:rFonts w:ascii="Arial" w:hAnsi="Arial" w:cs="Arial"/>
          <w:bCs/>
        </w:rPr>
        <w:t xml:space="preserve">urbanas são sem dúvida de extrema relevância para um planejamento urbano mais efetivo. Neste sentido, </w:t>
      </w:r>
      <w:r w:rsidR="00980D90" w:rsidRPr="005B15D9">
        <w:rPr>
          <w:rFonts w:ascii="Arial" w:hAnsi="Arial" w:cs="Arial"/>
          <w:bCs/>
        </w:rPr>
        <w:t>o desenvolvimento de estudo que analisa a relação entre os escorregamentos e a dinâmica do uso e ocupação do solo</w:t>
      </w:r>
      <w:r w:rsidR="00956000" w:rsidRPr="005B15D9">
        <w:rPr>
          <w:rFonts w:ascii="Arial" w:hAnsi="Arial" w:cs="Arial"/>
        </w:rPr>
        <w:t xml:space="preserve">se </w:t>
      </w:r>
      <w:r w:rsidR="007B710D" w:rsidRPr="005B15D9">
        <w:rPr>
          <w:rFonts w:ascii="Arial" w:hAnsi="Arial" w:cs="Arial"/>
        </w:rPr>
        <w:t>justifica,</w:t>
      </w:r>
      <w:r w:rsidR="00956000" w:rsidRPr="005B15D9">
        <w:rPr>
          <w:rFonts w:ascii="Arial" w:hAnsi="Arial" w:cs="Arial"/>
        </w:rPr>
        <w:t xml:space="preserve"> pois possibilita subsidiar o entendimento de como tais processos são deflagrados nas cidades brasileiras.</w:t>
      </w:r>
    </w:p>
    <w:p w:rsidR="003A2851" w:rsidRPr="005B15D9" w:rsidRDefault="003A2851" w:rsidP="00D214D5">
      <w:pPr>
        <w:spacing w:after="0" w:line="312" w:lineRule="auto"/>
        <w:ind w:right="45" w:firstLineChars="567" w:firstLine="1252"/>
        <w:jc w:val="both"/>
        <w:rPr>
          <w:rFonts w:ascii="Arial" w:hAnsi="Arial" w:cs="Arial"/>
          <w:b/>
        </w:rPr>
      </w:pPr>
    </w:p>
    <w:p w:rsidR="002B7390" w:rsidRPr="005B15D9" w:rsidRDefault="002B7390" w:rsidP="00141485">
      <w:pPr>
        <w:spacing w:after="0" w:line="312" w:lineRule="auto"/>
        <w:ind w:right="45"/>
        <w:jc w:val="both"/>
        <w:rPr>
          <w:rFonts w:ascii="Arial" w:hAnsi="Arial" w:cs="Arial"/>
          <w:b/>
        </w:rPr>
      </w:pPr>
      <w:r w:rsidRPr="005B15D9">
        <w:rPr>
          <w:rFonts w:ascii="Arial" w:hAnsi="Arial" w:cs="Arial"/>
          <w:b/>
        </w:rPr>
        <w:t>2. MATERIAIS E MÉTODO</w:t>
      </w:r>
    </w:p>
    <w:p w:rsidR="003F2FF0" w:rsidRPr="005B15D9" w:rsidRDefault="003F2FF0" w:rsidP="00141485">
      <w:pPr>
        <w:spacing w:after="0" w:line="312" w:lineRule="auto"/>
        <w:ind w:right="45"/>
        <w:jc w:val="both"/>
        <w:rPr>
          <w:rFonts w:ascii="Arial" w:hAnsi="Arial" w:cs="Arial"/>
          <w:b/>
        </w:rPr>
      </w:pPr>
    </w:p>
    <w:p w:rsidR="003F2FF0" w:rsidRPr="005B15D9" w:rsidRDefault="00D214D5" w:rsidP="00141485">
      <w:pPr>
        <w:spacing w:after="0" w:line="312" w:lineRule="auto"/>
        <w:ind w:right="45"/>
        <w:jc w:val="both"/>
        <w:rPr>
          <w:rFonts w:ascii="Arial" w:hAnsi="Arial" w:cs="Arial"/>
          <w:b/>
        </w:rPr>
      </w:pPr>
      <w:r w:rsidRPr="005B15D9">
        <w:rPr>
          <w:rFonts w:ascii="Arial" w:hAnsi="Arial" w:cs="Arial"/>
          <w:b/>
        </w:rPr>
        <w:t xml:space="preserve">2.1 </w:t>
      </w:r>
      <w:r w:rsidR="003A2851" w:rsidRPr="005B15D9">
        <w:rPr>
          <w:rFonts w:ascii="Arial" w:hAnsi="Arial" w:cs="Arial"/>
          <w:b/>
        </w:rPr>
        <w:t>Á</w:t>
      </w:r>
      <w:r w:rsidR="003F2FF0" w:rsidRPr="005B15D9">
        <w:rPr>
          <w:rFonts w:ascii="Arial" w:hAnsi="Arial" w:cs="Arial"/>
          <w:b/>
        </w:rPr>
        <w:t>rea de estudo</w:t>
      </w:r>
    </w:p>
    <w:p w:rsidR="002B7390" w:rsidRPr="005B15D9" w:rsidRDefault="002B7390" w:rsidP="00141485">
      <w:pPr>
        <w:spacing w:after="0" w:line="312" w:lineRule="auto"/>
        <w:ind w:right="45" w:firstLine="708"/>
        <w:jc w:val="both"/>
        <w:rPr>
          <w:rFonts w:ascii="Arial" w:hAnsi="Arial" w:cs="Arial"/>
          <w:bCs/>
        </w:rPr>
      </w:pPr>
    </w:p>
    <w:p w:rsidR="002B7390" w:rsidRPr="005B15D9" w:rsidRDefault="00D214D5" w:rsidP="00141485">
      <w:pPr>
        <w:spacing w:line="312" w:lineRule="auto"/>
        <w:rPr>
          <w:rFonts w:ascii="Arial" w:hAnsi="Arial" w:cs="Arial"/>
          <w:b/>
        </w:rPr>
      </w:pPr>
      <w:r w:rsidRPr="005B15D9">
        <w:rPr>
          <w:rFonts w:ascii="Arial" w:hAnsi="Arial" w:cs="Arial"/>
          <w:b/>
        </w:rPr>
        <w:t xml:space="preserve">2.1.1 </w:t>
      </w:r>
      <w:r w:rsidR="002B7390" w:rsidRPr="005B15D9">
        <w:rPr>
          <w:rFonts w:ascii="Arial" w:hAnsi="Arial" w:cs="Arial"/>
          <w:b/>
        </w:rPr>
        <w:t xml:space="preserve">SÃO JOSÉ DOS CAMPOS CARACTERÍSTICAS GERAIS </w:t>
      </w: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 xml:space="preserve">A cidade de São José dos Campos está localizada a leste da capital São Paulo e se insere no Médio Vale do Paraíba do Sul. Seu território compreende um total de </w:t>
      </w:r>
      <w:r w:rsidRPr="005B15D9">
        <w:rPr>
          <w:rFonts w:ascii="Arial" w:hAnsi="Arial" w:cs="Arial"/>
        </w:rPr>
        <w:lastRenderedPageBreak/>
        <w:t>1.099,6 Km², do qual 353,9 Km² pertencem à área Ur</w:t>
      </w:r>
      <w:r w:rsidR="00EF6684">
        <w:rPr>
          <w:rFonts w:ascii="Arial" w:hAnsi="Arial" w:cs="Arial"/>
        </w:rPr>
        <w:t>bana e 745,7 Km² de área rural, Prefeitura Municipal de São José dos Campos (201</w:t>
      </w:r>
      <w:r w:rsidR="003D4573">
        <w:rPr>
          <w:rFonts w:ascii="Arial" w:hAnsi="Arial" w:cs="Arial"/>
        </w:rPr>
        <w:t>2</w:t>
      </w:r>
      <w:r w:rsidR="00EF6684">
        <w:rPr>
          <w:rFonts w:ascii="Arial" w:hAnsi="Arial" w:cs="Arial"/>
        </w:rPr>
        <w:t>).</w:t>
      </w: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 xml:space="preserve">São José dos Campos faz divisa territorial com nove municípios, sendo dois deles pertencentes ao estado de Minas Gerais: Camanducaia-MG e Sapucaí Mirim-MG ao Norte. Outros municípios paulistas que fazem divisa são: Monteiro Lobato-SP e Caçapava-SP a Leste, Jambeiro-SP e Jacareí-SP a Sul, Igaratá-SP, Piracaia-SP e Joanópolis-SP a Oeste. As coordenadas geográficas para sua localização são: 23º </w:t>
      </w:r>
      <w:smartTag w:uri="urn:schemas-microsoft-com:office:smarttags" w:element="metricconverter">
        <w:smartTagPr>
          <w:attr w:name="ProductID" w:val="30’"/>
        </w:smartTagPr>
        <w:r w:rsidRPr="005B15D9">
          <w:rPr>
            <w:rFonts w:ascii="Arial" w:hAnsi="Arial" w:cs="Arial"/>
          </w:rPr>
          <w:t>30’</w:t>
        </w:r>
      </w:smartTag>
      <w:r w:rsidRPr="005B15D9">
        <w:rPr>
          <w:rFonts w:ascii="Arial" w:hAnsi="Arial" w:cs="Arial"/>
        </w:rPr>
        <w:t xml:space="preserve"> de latitude sul, 45º </w:t>
      </w:r>
      <w:smartTag w:uri="urn:schemas-microsoft-com:office:smarttags" w:element="metricconverter">
        <w:smartTagPr>
          <w:attr w:name="ProductID" w:val="45’"/>
        </w:smartTagPr>
        <w:r w:rsidRPr="005B15D9">
          <w:rPr>
            <w:rFonts w:ascii="Arial" w:hAnsi="Arial" w:cs="Arial"/>
          </w:rPr>
          <w:t>45’</w:t>
        </w:r>
      </w:smartTag>
      <w:r w:rsidR="003D4573">
        <w:rPr>
          <w:rFonts w:ascii="Arial" w:hAnsi="Arial" w:cs="Arial"/>
        </w:rPr>
        <w:t xml:space="preserve"> de longitude oeste, Prefeitura Municipal de São José dos Campos (2012).</w:t>
      </w:r>
    </w:p>
    <w:p w:rsidR="00C20BED" w:rsidRDefault="002B7390" w:rsidP="003D4573">
      <w:pPr>
        <w:spacing w:after="0" w:line="312" w:lineRule="auto"/>
        <w:ind w:firstLine="567"/>
        <w:jc w:val="both"/>
        <w:rPr>
          <w:rFonts w:ascii="Arial" w:hAnsi="Arial" w:cs="Arial"/>
        </w:rPr>
      </w:pPr>
      <w:r w:rsidRPr="005B15D9">
        <w:rPr>
          <w:rFonts w:ascii="Arial" w:hAnsi="Arial" w:cs="Arial"/>
        </w:rPr>
        <w:t>A população do município totaliza 629.921 mil habitantes, sendo deste total, 615.</w:t>
      </w:r>
      <w:r w:rsidR="00EF6684">
        <w:rPr>
          <w:rFonts w:ascii="Arial" w:hAnsi="Arial" w:cs="Arial"/>
        </w:rPr>
        <w:t>115</w:t>
      </w:r>
      <w:r w:rsidRPr="005B15D9">
        <w:rPr>
          <w:rFonts w:ascii="Arial" w:hAnsi="Arial" w:cs="Arial"/>
        </w:rPr>
        <w:t xml:space="preserve"> mil habitantes residente na área urbana. A cidade está dividida em sete regiões geográficas municipais: Norte, Sul, Leste, Oeste, Sudeste</w:t>
      </w:r>
      <w:r w:rsidR="003D4573">
        <w:rPr>
          <w:rFonts w:ascii="Arial" w:hAnsi="Arial" w:cs="Arial"/>
        </w:rPr>
        <w:t>, Centro e São Francisco Xavier, Prefeitura Municipal de São José dos Campos (2012).</w:t>
      </w:r>
    </w:p>
    <w:p w:rsidR="002B7390" w:rsidRPr="005B15D9" w:rsidRDefault="002B7390" w:rsidP="004C273A">
      <w:pPr>
        <w:spacing w:after="0" w:line="312" w:lineRule="auto"/>
        <w:ind w:firstLine="567"/>
        <w:jc w:val="both"/>
        <w:rPr>
          <w:rFonts w:ascii="Arial" w:hAnsi="Arial" w:cs="Arial"/>
        </w:rPr>
      </w:pPr>
      <w:r w:rsidRPr="005B15D9">
        <w:rPr>
          <w:rFonts w:ascii="Arial" w:hAnsi="Arial" w:cs="Arial"/>
        </w:rPr>
        <w:t>A Figura a seguir represent</w:t>
      </w:r>
      <w:r w:rsidR="003D4573">
        <w:rPr>
          <w:rFonts w:ascii="Arial" w:hAnsi="Arial" w:cs="Arial"/>
        </w:rPr>
        <w:t xml:space="preserve">a a localização de tais regiões, </w:t>
      </w:r>
      <w:r w:rsidRPr="005B15D9">
        <w:rPr>
          <w:rFonts w:ascii="Arial" w:hAnsi="Arial" w:cs="Arial"/>
        </w:rPr>
        <w:t xml:space="preserve">Segundo o atlas </w:t>
      </w:r>
      <w:r w:rsidR="008C3220" w:rsidRPr="005B15D9">
        <w:rPr>
          <w:rFonts w:ascii="Arial" w:hAnsi="Arial" w:cs="Arial"/>
        </w:rPr>
        <w:t xml:space="preserve">disponibilizado pela PrefeituraMunicipal de </w:t>
      </w:r>
      <w:r w:rsidRPr="005B15D9">
        <w:rPr>
          <w:rFonts w:ascii="Arial" w:hAnsi="Arial" w:cs="Arial"/>
        </w:rPr>
        <w:t>S</w:t>
      </w:r>
      <w:r w:rsidR="00AF501B" w:rsidRPr="005B15D9">
        <w:rPr>
          <w:rFonts w:ascii="Arial" w:hAnsi="Arial" w:cs="Arial"/>
        </w:rPr>
        <w:t xml:space="preserve">ão José dos </w:t>
      </w:r>
      <w:r w:rsidR="003A2851" w:rsidRPr="005B15D9">
        <w:rPr>
          <w:rFonts w:ascii="Arial" w:hAnsi="Arial" w:cs="Arial"/>
        </w:rPr>
        <w:t>Campos (</w:t>
      </w:r>
      <w:r w:rsidRPr="005B15D9">
        <w:rPr>
          <w:rFonts w:ascii="Arial" w:hAnsi="Arial" w:cs="Arial"/>
        </w:rPr>
        <w:t>2012</w:t>
      </w:r>
      <w:r w:rsidR="003A2851" w:rsidRPr="005B15D9">
        <w:rPr>
          <w:rFonts w:ascii="Arial" w:hAnsi="Arial" w:cs="Arial"/>
        </w:rPr>
        <w:t xml:space="preserve">), </w:t>
      </w:r>
      <w:r w:rsidRPr="005B15D9">
        <w:rPr>
          <w:rFonts w:ascii="Arial" w:hAnsi="Arial" w:cs="Arial"/>
        </w:rPr>
        <w:t>a cidade está inserida no planalto atlântico, subdividido em três feições morfológicas diferentes: Serra da Mantiqueira, Médio Vale do Paraíba e Planalto de Paraitinga.</w:t>
      </w:r>
    </w:p>
    <w:p w:rsidR="00D214D5" w:rsidRPr="005B15D9" w:rsidRDefault="00D214D5" w:rsidP="00D214D5">
      <w:pPr>
        <w:spacing w:after="0" w:line="312" w:lineRule="auto"/>
        <w:jc w:val="both"/>
        <w:rPr>
          <w:rFonts w:ascii="Arial" w:hAnsi="Arial" w:cs="Arial"/>
        </w:rPr>
      </w:pPr>
      <w:r w:rsidRPr="005B15D9">
        <w:rPr>
          <w:rFonts w:ascii="Arial" w:hAnsi="Arial" w:cs="Arial"/>
          <w:noProof/>
        </w:rPr>
        <w:drawing>
          <wp:inline distT="0" distB="0" distL="0" distR="0">
            <wp:extent cx="5400040" cy="3817620"/>
            <wp:effectExtent l="19050" t="0" r="0" b="0"/>
            <wp:docPr id="1" name="Imagem 0" descr="LOCALIZAÇÃO DA ÁREA DE ESTU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ÇÃO DA ÁREA DE ESTUDO2.jpg"/>
                    <pic:cNvPicPr/>
                  </pic:nvPicPr>
                  <pic:blipFill>
                    <a:blip r:embed="rId8" cstate="print"/>
                    <a:stretch>
                      <a:fillRect/>
                    </a:stretch>
                  </pic:blipFill>
                  <pic:spPr>
                    <a:xfrm>
                      <a:off x="0" y="0"/>
                      <a:ext cx="5400040" cy="3817620"/>
                    </a:xfrm>
                    <a:prstGeom prst="rect">
                      <a:avLst/>
                    </a:prstGeom>
                  </pic:spPr>
                </pic:pic>
              </a:graphicData>
            </a:graphic>
          </wp:inline>
        </w:drawing>
      </w:r>
    </w:p>
    <w:p w:rsidR="002B7390" w:rsidRPr="005B15D9" w:rsidRDefault="002B7390" w:rsidP="00927946">
      <w:pPr>
        <w:spacing w:after="0" w:line="240" w:lineRule="auto"/>
        <w:ind w:left="567"/>
        <w:rPr>
          <w:rFonts w:ascii="Arial" w:hAnsi="Arial" w:cs="Arial"/>
          <w:b/>
          <w:sz w:val="20"/>
          <w:szCs w:val="20"/>
        </w:rPr>
      </w:pPr>
      <w:r w:rsidRPr="005B15D9">
        <w:rPr>
          <w:rFonts w:ascii="Arial" w:hAnsi="Arial" w:cs="Arial"/>
          <w:sz w:val="20"/>
          <w:szCs w:val="20"/>
        </w:rPr>
        <w:t xml:space="preserve">Figura </w:t>
      </w:r>
      <w:r w:rsidR="007B710D" w:rsidRPr="005B15D9">
        <w:rPr>
          <w:rFonts w:ascii="Arial" w:hAnsi="Arial" w:cs="Arial"/>
          <w:sz w:val="20"/>
          <w:szCs w:val="20"/>
        </w:rPr>
        <w:t>0</w:t>
      </w:r>
      <w:r w:rsidRPr="005B15D9">
        <w:rPr>
          <w:rFonts w:ascii="Arial" w:hAnsi="Arial" w:cs="Arial"/>
          <w:sz w:val="20"/>
          <w:szCs w:val="20"/>
        </w:rPr>
        <w:t xml:space="preserve">1: Localização </w:t>
      </w:r>
      <w:r w:rsidR="00044CEA" w:rsidRPr="005B15D9">
        <w:rPr>
          <w:rFonts w:ascii="Arial" w:hAnsi="Arial" w:cs="Arial"/>
          <w:sz w:val="20"/>
          <w:szCs w:val="20"/>
        </w:rPr>
        <w:t>da área de estudo.</w:t>
      </w:r>
    </w:p>
    <w:p w:rsidR="002B7390" w:rsidRPr="005B15D9" w:rsidRDefault="002B7390" w:rsidP="00927946">
      <w:pPr>
        <w:spacing w:after="0" w:line="240" w:lineRule="auto"/>
        <w:ind w:left="567"/>
        <w:jc w:val="both"/>
        <w:rPr>
          <w:rFonts w:ascii="Arial" w:hAnsi="Arial" w:cs="Arial"/>
          <w:sz w:val="20"/>
          <w:szCs w:val="20"/>
        </w:rPr>
      </w:pPr>
      <w:r w:rsidRPr="005B15D9">
        <w:rPr>
          <w:rFonts w:ascii="Arial" w:hAnsi="Arial" w:cs="Arial"/>
          <w:sz w:val="20"/>
          <w:szCs w:val="20"/>
        </w:rPr>
        <w:t>F</w:t>
      </w:r>
      <w:r w:rsidR="00366D0D">
        <w:rPr>
          <w:rFonts w:ascii="Arial" w:hAnsi="Arial" w:cs="Arial"/>
          <w:sz w:val="20"/>
          <w:szCs w:val="20"/>
        </w:rPr>
        <w:t>onte: Autor (</w:t>
      </w:r>
      <w:r w:rsidRPr="005B15D9">
        <w:rPr>
          <w:rFonts w:ascii="Arial" w:hAnsi="Arial" w:cs="Arial"/>
          <w:sz w:val="20"/>
          <w:szCs w:val="20"/>
        </w:rPr>
        <w:t>2016</w:t>
      </w:r>
      <w:r w:rsidR="00366D0D">
        <w:rPr>
          <w:rFonts w:ascii="Arial" w:hAnsi="Arial" w:cs="Arial"/>
          <w:sz w:val="20"/>
          <w:szCs w:val="20"/>
        </w:rPr>
        <w:t>)</w:t>
      </w:r>
      <w:r w:rsidRPr="005B15D9">
        <w:rPr>
          <w:rFonts w:ascii="Arial" w:hAnsi="Arial" w:cs="Arial"/>
          <w:sz w:val="20"/>
          <w:szCs w:val="20"/>
        </w:rPr>
        <w:t>.</w:t>
      </w:r>
    </w:p>
    <w:p w:rsidR="002B7390" w:rsidRPr="005B15D9" w:rsidRDefault="002B7390" w:rsidP="00927946">
      <w:pPr>
        <w:spacing w:after="0" w:line="312" w:lineRule="auto"/>
        <w:ind w:left="567"/>
        <w:rPr>
          <w:rFonts w:ascii="Arial" w:hAnsi="Arial" w:cs="Arial"/>
          <w:b/>
        </w:rPr>
      </w:pPr>
    </w:p>
    <w:p w:rsidR="002B7390" w:rsidRPr="005B15D9" w:rsidRDefault="002B7390" w:rsidP="00D214D5">
      <w:pPr>
        <w:spacing w:after="0" w:line="312" w:lineRule="auto"/>
        <w:ind w:firstLine="567"/>
        <w:jc w:val="both"/>
        <w:rPr>
          <w:rFonts w:ascii="Arial" w:hAnsi="Arial" w:cs="Arial"/>
        </w:rPr>
      </w:pPr>
      <w:r w:rsidRPr="005B15D9">
        <w:rPr>
          <w:rFonts w:ascii="Arial" w:hAnsi="Arial" w:cs="Arial"/>
        </w:rPr>
        <w:t>Segundo Forlin e Costa (2010) a industrialização de São José dos Campos, teve grande importância para a urbanização da cidade. Para os autores, o processo industrial teve significância principalmente a partir de 1930, seguindo-se com maior intensidade e notoriedade décadas à frente.</w:t>
      </w:r>
    </w:p>
    <w:p w:rsidR="002B7390" w:rsidRPr="005B15D9" w:rsidRDefault="00366D0D" w:rsidP="00D214D5">
      <w:pPr>
        <w:spacing w:after="0" w:line="312" w:lineRule="auto"/>
        <w:ind w:firstLine="567"/>
        <w:jc w:val="both"/>
        <w:rPr>
          <w:rFonts w:ascii="Arial" w:hAnsi="Arial" w:cs="Arial"/>
        </w:rPr>
      </w:pPr>
      <w:r>
        <w:rPr>
          <w:rFonts w:ascii="Arial" w:hAnsi="Arial" w:cs="Arial"/>
        </w:rPr>
        <w:lastRenderedPageBreak/>
        <w:t>Para Papali et</w:t>
      </w:r>
      <w:r w:rsidR="002B7390" w:rsidRPr="005B15D9">
        <w:rPr>
          <w:rFonts w:ascii="Arial" w:hAnsi="Arial" w:cs="Arial"/>
        </w:rPr>
        <w:t xml:space="preserve"> </w:t>
      </w:r>
      <w:r>
        <w:rPr>
          <w:rFonts w:ascii="Arial" w:hAnsi="Arial" w:cs="Arial"/>
        </w:rPr>
        <w:t>al</w:t>
      </w:r>
      <w:r w:rsidR="002B7390" w:rsidRPr="005B15D9">
        <w:rPr>
          <w:rFonts w:ascii="Arial" w:hAnsi="Arial" w:cs="Arial"/>
        </w:rPr>
        <w:t>. (2010) o processo industrial de São José dos Campos pode ser dividido em três fases. A primeira fase compreende entre 1920 até o final de 1940. Neste período a indústria joseense era representada pelo setor de cerâmica e de tecelagem. A fase seguinte situa-se entre 1950 e o final da década de 60. Nesta ocasião, houve uma maior diversidade de produção industrial no município, com importância para a inauguração da Via Dutra e as instalações dos centros de pesquisa como o CTA e INPE, a qual reafirmou a intenção da cidade por novas opções econômicas e sociais. A terceira fase é compreendida a partir de 1970 em diante, com a criação da EMBRAER e da construção da refinaria Henrique Lage.</w:t>
      </w:r>
    </w:p>
    <w:p w:rsidR="002B7390" w:rsidRPr="005B15D9" w:rsidRDefault="002B7390" w:rsidP="00D214D5">
      <w:pPr>
        <w:spacing w:after="0" w:line="312" w:lineRule="auto"/>
        <w:ind w:firstLine="567"/>
        <w:jc w:val="both"/>
        <w:rPr>
          <w:rFonts w:ascii="Arial" w:hAnsi="Arial" w:cs="Arial"/>
        </w:rPr>
      </w:pPr>
      <w:r w:rsidRPr="005B15D9">
        <w:rPr>
          <w:rFonts w:ascii="Arial" w:hAnsi="Arial" w:cs="Arial"/>
        </w:rPr>
        <w:t xml:space="preserve">Reschilian (2010) afirma que em meados de 1970, período conhecido como interiorização da indústria, devido ao processo de desconcentração industrial da região metropolitana de São Paulo, o Vale do Paraíba torna-se uma importante região de expansão econômica, assim como Santos, Campinas e Ribeirão Preto. </w:t>
      </w:r>
    </w:p>
    <w:p w:rsidR="002B7390" w:rsidRPr="005B15D9" w:rsidRDefault="0028427C" w:rsidP="00D214D5">
      <w:pPr>
        <w:spacing w:after="0" w:line="312" w:lineRule="auto"/>
        <w:ind w:firstLine="567"/>
        <w:jc w:val="both"/>
        <w:rPr>
          <w:rFonts w:ascii="Arial" w:hAnsi="Arial" w:cs="Arial"/>
        </w:rPr>
      </w:pPr>
      <w:r w:rsidRPr="005B15D9">
        <w:rPr>
          <w:rFonts w:ascii="Arial" w:hAnsi="Arial" w:cs="Arial"/>
        </w:rPr>
        <w:t xml:space="preserve">Forlin e Costa (2010) afirmam que o município após a década de 1970, ganhou notoriedade com as instalações de indústrias do setor armamentista como a AVIBRÁS e ENGESA, e a instalação da EMBRAER no município contribuiu para a proliferação de outras indústrias de alta tecnologia, o que contribuiu para fortalecer o município como “pólotecnológico”.Para estes autores a transformação na economia e no perfil do município, a cidade de São José dos Campos sofreu com a queda na oferta de serviços urbanos e de infra-estrutura comprometendo a qualidade de vida de sua população, sobretudo a mais pobre. </w:t>
      </w:r>
    </w:p>
    <w:p w:rsidR="00E47BF3" w:rsidRPr="005B15D9" w:rsidRDefault="00E47BF3" w:rsidP="00E47BF3">
      <w:pPr>
        <w:spacing w:line="312" w:lineRule="auto"/>
        <w:ind w:firstLine="567"/>
        <w:jc w:val="both"/>
        <w:rPr>
          <w:rFonts w:ascii="Arial" w:hAnsi="Arial" w:cs="Arial"/>
        </w:rPr>
      </w:pPr>
      <w:r w:rsidRPr="005B15D9">
        <w:rPr>
          <w:rFonts w:ascii="Arial" w:hAnsi="Arial" w:cs="Arial"/>
        </w:rPr>
        <w:t xml:space="preserve">Para Reschilian (2010) </w:t>
      </w:r>
    </w:p>
    <w:p w:rsidR="00E47BF3" w:rsidRPr="005B15D9" w:rsidRDefault="00E47BF3" w:rsidP="00E47BF3">
      <w:pPr>
        <w:spacing w:line="240" w:lineRule="auto"/>
        <w:ind w:left="2268"/>
        <w:jc w:val="both"/>
        <w:rPr>
          <w:rFonts w:ascii="Arial" w:hAnsi="Arial" w:cs="Arial"/>
          <w:sz w:val="20"/>
          <w:szCs w:val="20"/>
        </w:rPr>
      </w:pPr>
      <w:r w:rsidRPr="005B15D9">
        <w:rPr>
          <w:rFonts w:ascii="Arial" w:hAnsi="Arial" w:cs="Arial"/>
          <w:sz w:val="20"/>
          <w:szCs w:val="20"/>
        </w:rPr>
        <w:t>A velocidade do crescimento industrial e das taxas de urbanização, aliados ao modelo de desenvolvimento concentrador de rende, riqueza e terra, não gerou políticas públicas urbanas e habitacionais suficientes para conter a expansão periférica da cidade e gerar alternativas de moradia no mercado imobiliário formal (RESCHILIAN, 2010, p.171).</w:t>
      </w:r>
    </w:p>
    <w:p w:rsidR="00E47BF3" w:rsidRPr="005B15D9" w:rsidRDefault="00E47BF3" w:rsidP="00E47BF3">
      <w:pPr>
        <w:spacing w:after="0" w:line="312" w:lineRule="auto"/>
        <w:jc w:val="both"/>
        <w:rPr>
          <w:rFonts w:ascii="Arial" w:hAnsi="Arial" w:cs="Arial"/>
          <w:sz w:val="20"/>
          <w:szCs w:val="20"/>
        </w:rPr>
      </w:pPr>
    </w:p>
    <w:p w:rsidR="002B7390" w:rsidRPr="005B15D9" w:rsidRDefault="002B7390" w:rsidP="00E47BF3">
      <w:pPr>
        <w:spacing w:after="0" w:line="312" w:lineRule="auto"/>
        <w:ind w:firstLine="708"/>
        <w:jc w:val="both"/>
        <w:rPr>
          <w:rFonts w:ascii="Arial" w:hAnsi="Arial" w:cs="Arial"/>
        </w:rPr>
      </w:pPr>
      <w:r w:rsidRPr="005B15D9">
        <w:rPr>
          <w:rFonts w:ascii="Arial" w:hAnsi="Arial" w:cs="Arial"/>
        </w:rPr>
        <w:t xml:space="preserve">Segundo Forlin e Costa (2010) as carências de políticas públicas habitacionais eficientes em São José dos Campos fizeram com que essa população desenvolvesse alternativas ao mercado imobiliário legal, ocupando irregularmente loteamentos e criando bairros clandestinos na periferia da cidade. </w:t>
      </w:r>
    </w:p>
    <w:p w:rsidR="00E47BF3" w:rsidRPr="005B15D9" w:rsidRDefault="00E47BF3" w:rsidP="00E47BF3">
      <w:pPr>
        <w:spacing w:after="0" w:line="312" w:lineRule="auto"/>
        <w:ind w:firstLine="708"/>
        <w:jc w:val="both"/>
        <w:rPr>
          <w:rFonts w:ascii="Arial" w:hAnsi="Arial" w:cs="Arial"/>
        </w:rPr>
      </w:pPr>
    </w:p>
    <w:p w:rsidR="002B7390" w:rsidRPr="005B15D9" w:rsidRDefault="00D214D5" w:rsidP="002B7390">
      <w:pPr>
        <w:spacing w:line="312" w:lineRule="auto"/>
        <w:jc w:val="both"/>
        <w:rPr>
          <w:rFonts w:ascii="Arial" w:hAnsi="Arial" w:cs="Arial"/>
          <w:b/>
        </w:rPr>
      </w:pPr>
      <w:r w:rsidRPr="005B15D9">
        <w:rPr>
          <w:rFonts w:ascii="Arial" w:hAnsi="Arial" w:cs="Arial"/>
          <w:b/>
        </w:rPr>
        <w:t>2.1.2</w:t>
      </w:r>
      <w:r w:rsidR="002B7390" w:rsidRPr="005B15D9">
        <w:rPr>
          <w:rFonts w:ascii="Arial" w:hAnsi="Arial" w:cs="Arial"/>
          <w:b/>
        </w:rPr>
        <w:t>ÁREAS DE RISCO DE ESCORREGAMENTO</w:t>
      </w:r>
    </w:p>
    <w:p w:rsidR="002B7390" w:rsidRPr="005B15D9" w:rsidRDefault="002B7390" w:rsidP="00D214D5">
      <w:pPr>
        <w:spacing w:after="0" w:line="312" w:lineRule="auto"/>
        <w:ind w:firstLine="567"/>
        <w:jc w:val="both"/>
        <w:rPr>
          <w:rFonts w:ascii="Arial" w:hAnsi="Arial" w:cs="Arial"/>
          <w:b/>
        </w:rPr>
      </w:pPr>
      <w:r w:rsidRPr="005B15D9">
        <w:rPr>
          <w:rFonts w:ascii="Arial" w:hAnsi="Arial" w:cs="Arial"/>
        </w:rPr>
        <w:t>Para o esclarecimento desta pesquisa, o conceito de áreas de risco utilizado, refere-se a locais que apresentem propensão aos riscos geológicos e geotécnicos de movimentos gravitacionais de massa, e que estes proporcionem algum dano à população (risco de vida, material e econômico).</w:t>
      </w: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Tominaga (2012) define movimento de massa como</w:t>
      </w:r>
    </w:p>
    <w:p w:rsidR="002B7390" w:rsidRPr="005B15D9" w:rsidRDefault="002B7390" w:rsidP="002B7390">
      <w:pPr>
        <w:spacing w:after="0" w:line="240" w:lineRule="auto"/>
        <w:ind w:left="567" w:right="45"/>
        <w:jc w:val="both"/>
        <w:rPr>
          <w:rFonts w:ascii="Arial" w:hAnsi="Arial" w:cs="Arial"/>
          <w:sz w:val="20"/>
          <w:szCs w:val="20"/>
        </w:rPr>
      </w:pPr>
    </w:p>
    <w:p w:rsidR="002B7390" w:rsidRPr="005B15D9" w:rsidRDefault="002B7390" w:rsidP="002B7390">
      <w:pPr>
        <w:spacing w:after="0" w:line="240" w:lineRule="auto"/>
        <w:ind w:left="2268" w:right="45"/>
        <w:jc w:val="both"/>
        <w:rPr>
          <w:rFonts w:ascii="Arial" w:hAnsi="Arial" w:cs="Arial"/>
          <w:sz w:val="20"/>
          <w:szCs w:val="20"/>
        </w:rPr>
      </w:pPr>
      <w:r w:rsidRPr="005B15D9">
        <w:rPr>
          <w:rFonts w:ascii="Arial" w:hAnsi="Arial" w:cs="Arial"/>
          <w:sz w:val="20"/>
          <w:szCs w:val="20"/>
        </w:rPr>
        <w:t xml:space="preserve">(...) o movimento do solo, rocha e/ ou vegetação ao longo da vertente sob a ação direta da gravidade. A contribuição de outro meio, como </w:t>
      </w:r>
      <w:r w:rsidRPr="005B15D9">
        <w:rPr>
          <w:rFonts w:ascii="Arial" w:hAnsi="Arial" w:cs="Arial"/>
          <w:sz w:val="20"/>
          <w:szCs w:val="20"/>
        </w:rPr>
        <w:lastRenderedPageBreak/>
        <w:t xml:space="preserve">água ou gelo se dá pela redução da resistência dos materiais de vertente e/ ou pela indução do comportamento plástico e fluido do solo (TOMINAGA, 2012, p. 27). </w:t>
      </w:r>
    </w:p>
    <w:p w:rsidR="002B7390" w:rsidRPr="005B15D9" w:rsidRDefault="002B7390" w:rsidP="002B7390">
      <w:pPr>
        <w:spacing w:after="0" w:line="240" w:lineRule="auto"/>
        <w:ind w:left="567" w:right="45"/>
        <w:jc w:val="both"/>
        <w:rPr>
          <w:rFonts w:ascii="Arial" w:hAnsi="Arial" w:cs="Arial"/>
          <w:sz w:val="20"/>
          <w:szCs w:val="20"/>
        </w:rPr>
      </w:pP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Segundo Tominaga (2012) os processos de escorregamento são mais comuns nas regiões de climas úmidos e com topografias mais acidentadas como montanhas e serras. Para a autora, no Brasil estes acontecimentos são mais freqüentes nas regiões sudeste, sul e nordeste do país.</w:t>
      </w:r>
    </w:p>
    <w:p w:rsidR="002B7390" w:rsidRPr="005B15D9" w:rsidRDefault="002B7390" w:rsidP="00D214D5">
      <w:pPr>
        <w:spacing w:after="0" w:line="312" w:lineRule="auto"/>
        <w:ind w:right="45" w:firstLine="567"/>
        <w:jc w:val="both"/>
        <w:rPr>
          <w:rFonts w:ascii="Arial" w:hAnsi="Arial" w:cs="Arial"/>
        </w:rPr>
      </w:pPr>
      <w:r w:rsidRPr="005B15D9">
        <w:rPr>
          <w:rFonts w:ascii="Arial" w:hAnsi="Arial" w:cs="Arial"/>
        </w:rPr>
        <w:t xml:space="preserve">Os principais tipos de movimentos de massa em encostas, segundo Augusto Filho </w:t>
      </w:r>
      <w:r w:rsidR="0007512F" w:rsidRPr="005B15D9">
        <w:rPr>
          <w:rFonts w:ascii="Arial" w:hAnsi="Arial" w:cs="Arial"/>
        </w:rPr>
        <w:t>(1992</w:t>
      </w:r>
      <w:r w:rsidRPr="005B15D9">
        <w:rPr>
          <w:rFonts w:ascii="Arial" w:hAnsi="Arial" w:cs="Arial"/>
        </w:rPr>
        <w:t>) são:</w:t>
      </w:r>
    </w:p>
    <w:p w:rsidR="002B7390" w:rsidRPr="005B15D9" w:rsidRDefault="004C273A" w:rsidP="00141485">
      <w:pPr>
        <w:pStyle w:val="PargrafodaLista1"/>
        <w:spacing w:after="0" w:line="312" w:lineRule="auto"/>
        <w:ind w:left="0" w:right="45"/>
        <w:jc w:val="both"/>
        <w:rPr>
          <w:rFonts w:ascii="Arial" w:hAnsi="Arial" w:cs="Arial"/>
        </w:rPr>
      </w:pPr>
      <w:r>
        <w:rPr>
          <w:rFonts w:ascii="Arial" w:hAnsi="Arial" w:cs="Arial"/>
        </w:rPr>
        <w:t>1</w:t>
      </w:r>
      <w:r w:rsidR="0028427C" w:rsidRPr="005B15D9">
        <w:rPr>
          <w:rFonts w:ascii="Arial" w:hAnsi="Arial" w:cs="Arial"/>
        </w:rPr>
        <w:t>.Rastejos;</w:t>
      </w:r>
    </w:p>
    <w:p w:rsidR="002B7390" w:rsidRPr="005B15D9" w:rsidRDefault="0028427C" w:rsidP="00141485">
      <w:pPr>
        <w:pStyle w:val="PargrafodaLista1"/>
        <w:spacing w:after="0" w:line="312" w:lineRule="auto"/>
        <w:ind w:left="0" w:right="45"/>
        <w:jc w:val="both"/>
        <w:rPr>
          <w:rFonts w:ascii="Arial" w:hAnsi="Arial" w:cs="Arial"/>
        </w:rPr>
      </w:pPr>
      <w:r w:rsidRPr="005B15D9">
        <w:rPr>
          <w:rFonts w:ascii="Arial" w:hAnsi="Arial" w:cs="Arial"/>
        </w:rPr>
        <w:t>2.Escorregamentos (Planares, Circulares e Em cunha);</w:t>
      </w:r>
    </w:p>
    <w:p w:rsidR="004C273A" w:rsidRDefault="0028427C" w:rsidP="00141485">
      <w:pPr>
        <w:pStyle w:val="PargrafodaLista1"/>
        <w:spacing w:after="0" w:line="312" w:lineRule="auto"/>
        <w:ind w:left="0" w:right="45"/>
        <w:jc w:val="both"/>
        <w:rPr>
          <w:rFonts w:ascii="Arial" w:hAnsi="Arial" w:cs="Arial"/>
        </w:rPr>
      </w:pPr>
      <w:r w:rsidRPr="005B15D9">
        <w:rPr>
          <w:rFonts w:ascii="Arial" w:hAnsi="Arial" w:cs="Arial"/>
        </w:rPr>
        <w:t>3.Quedas;</w:t>
      </w:r>
    </w:p>
    <w:p w:rsidR="002B7390" w:rsidRPr="005B15D9" w:rsidRDefault="0028427C" w:rsidP="00141485">
      <w:pPr>
        <w:pStyle w:val="PargrafodaLista1"/>
        <w:spacing w:after="0" w:line="312" w:lineRule="auto"/>
        <w:ind w:left="0" w:right="45"/>
        <w:jc w:val="both"/>
        <w:rPr>
          <w:rFonts w:ascii="Arial" w:hAnsi="Arial" w:cs="Arial"/>
        </w:rPr>
      </w:pPr>
      <w:r w:rsidRPr="005B15D9">
        <w:rPr>
          <w:rFonts w:ascii="Arial" w:hAnsi="Arial" w:cs="Arial"/>
        </w:rPr>
        <w:t>4.Corridas;</w:t>
      </w:r>
    </w:p>
    <w:p w:rsidR="00AF501B" w:rsidRPr="005B15D9" w:rsidRDefault="00AF501B" w:rsidP="00AF501B">
      <w:pPr>
        <w:spacing w:after="0" w:line="240" w:lineRule="auto"/>
        <w:jc w:val="both"/>
        <w:rPr>
          <w:rFonts w:ascii="Arial" w:hAnsi="Arial" w:cs="Arial"/>
          <w:sz w:val="20"/>
          <w:szCs w:val="20"/>
        </w:rPr>
      </w:pPr>
    </w:p>
    <w:p w:rsidR="00D06E63" w:rsidRPr="005B15D9" w:rsidRDefault="00247728" w:rsidP="0007512F">
      <w:pPr>
        <w:spacing w:after="0" w:line="312" w:lineRule="auto"/>
        <w:ind w:right="45" w:firstLine="567"/>
        <w:jc w:val="both"/>
        <w:rPr>
          <w:rFonts w:ascii="Arial" w:hAnsi="Arial" w:cs="Arial"/>
          <w:bCs/>
        </w:rPr>
      </w:pPr>
      <w:r w:rsidRPr="005B15D9">
        <w:rPr>
          <w:rFonts w:ascii="Arial" w:hAnsi="Arial" w:cs="Arial"/>
          <w:bCs/>
        </w:rPr>
        <w:t>Como material de suporte para o alcance do</w:t>
      </w:r>
      <w:r w:rsidR="00AF501B" w:rsidRPr="005B15D9">
        <w:rPr>
          <w:rFonts w:ascii="Arial" w:hAnsi="Arial" w:cs="Arial"/>
          <w:bCs/>
        </w:rPr>
        <w:t>s</w:t>
      </w:r>
      <w:r w:rsidRPr="005B15D9">
        <w:rPr>
          <w:rFonts w:ascii="Arial" w:hAnsi="Arial" w:cs="Arial"/>
          <w:bCs/>
        </w:rPr>
        <w:t xml:space="preserve"> objetivo</w:t>
      </w:r>
      <w:r w:rsidR="00AF501B" w:rsidRPr="005B15D9">
        <w:rPr>
          <w:rFonts w:ascii="Arial" w:hAnsi="Arial" w:cs="Arial"/>
          <w:bCs/>
        </w:rPr>
        <w:t>s</w:t>
      </w:r>
      <w:r w:rsidRPr="005B15D9">
        <w:rPr>
          <w:rFonts w:ascii="Arial" w:hAnsi="Arial" w:cs="Arial"/>
          <w:bCs/>
        </w:rPr>
        <w:t xml:space="preserve">, </w:t>
      </w:r>
      <w:r w:rsidR="0028427C" w:rsidRPr="005B15D9">
        <w:rPr>
          <w:rFonts w:ascii="Arial" w:hAnsi="Arial" w:cs="Arial"/>
          <w:bCs/>
        </w:rPr>
        <w:t>foram selecionadas</w:t>
      </w:r>
      <w:r w:rsidRPr="005B15D9">
        <w:rPr>
          <w:rFonts w:ascii="Arial" w:hAnsi="Arial" w:cs="Arial"/>
          <w:bCs/>
        </w:rPr>
        <w:t>as fotografias éreas e as imagens orbitais.</w:t>
      </w:r>
      <w:r w:rsidR="00485388" w:rsidRPr="005B15D9">
        <w:rPr>
          <w:rFonts w:ascii="Arial" w:hAnsi="Arial" w:cs="Arial"/>
          <w:bCs/>
        </w:rPr>
        <w:t xml:space="preserve"> Inicialmente foi estabelecido um intervalo de dez anos para a seleção das </w:t>
      </w:r>
      <w:r w:rsidR="003A2851" w:rsidRPr="005B15D9">
        <w:rPr>
          <w:rFonts w:ascii="Arial" w:hAnsi="Arial" w:cs="Arial"/>
          <w:bCs/>
        </w:rPr>
        <w:t>fotografias</w:t>
      </w:r>
      <w:r w:rsidR="00485388" w:rsidRPr="005B15D9">
        <w:rPr>
          <w:rFonts w:ascii="Arial" w:hAnsi="Arial" w:cs="Arial"/>
          <w:bCs/>
        </w:rPr>
        <w:t xml:space="preserve"> e imagens orbitais, porem</w:t>
      </w:r>
      <w:r w:rsidR="00BD3352" w:rsidRPr="005B15D9">
        <w:rPr>
          <w:rFonts w:ascii="Arial" w:hAnsi="Arial" w:cs="Arial"/>
          <w:bCs/>
        </w:rPr>
        <w:t>,</w:t>
      </w:r>
      <w:r w:rsidR="00485388" w:rsidRPr="005B15D9">
        <w:rPr>
          <w:rFonts w:ascii="Arial" w:hAnsi="Arial" w:cs="Arial"/>
          <w:bCs/>
        </w:rPr>
        <w:t xml:space="preserve"> face às limitações </w:t>
      </w:r>
      <w:r w:rsidR="00BD3352" w:rsidRPr="005B15D9">
        <w:rPr>
          <w:rFonts w:ascii="Arial" w:hAnsi="Arial" w:cs="Arial"/>
          <w:bCs/>
        </w:rPr>
        <w:t>na disponibilidade</w:t>
      </w:r>
      <w:r w:rsidR="00485388" w:rsidRPr="005B15D9">
        <w:rPr>
          <w:rFonts w:ascii="Arial" w:hAnsi="Arial" w:cs="Arial"/>
          <w:bCs/>
        </w:rPr>
        <w:t xml:space="preserve">, optou-se pelas datas disponíveis e que proporcionassem </w:t>
      </w:r>
      <w:r w:rsidR="007B710D" w:rsidRPr="005B15D9">
        <w:rPr>
          <w:rFonts w:ascii="Arial" w:hAnsi="Arial" w:cs="Arial"/>
          <w:bCs/>
        </w:rPr>
        <w:t>certa</w:t>
      </w:r>
      <w:r w:rsidR="00485388" w:rsidRPr="005B15D9">
        <w:rPr>
          <w:rFonts w:ascii="Arial" w:hAnsi="Arial" w:cs="Arial"/>
          <w:bCs/>
        </w:rPr>
        <w:t xml:space="preserve"> proximidade com o </w:t>
      </w:r>
      <w:r w:rsidR="00AF501B" w:rsidRPr="005B15D9">
        <w:rPr>
          <w:rFonts w:ascii="Arial" w:hAnsi="Arial" w:cs="Arial"/>
          <w:bCs/>
        </w:rPr>
        <w:t xml:space="preserve">intervalo </w:t>
      </w:r>
      <w:r w:rsidR="00485388" w:rsidRPr="005B15D9">
        <w:rPr>
          <w:rFonts w:ascii="Arial" w:hAnsi="Arial" w:cs="Arial"/>
          <w:bCs/>
        </w:rPr>
        <w:t>de dez anos. Assim, p</w:t>
      </w:r>
      <w:r w:rsidR="00D06E63" w:rsidRPr="005B15D9">
        <w:rPr>
          <w:rFonts w:ascii="Arial" w:hAnsi="Arial" w:cs="Arial"/>
          <w:bCs/>
        </w:rPr>
        <w:t xml:space="preserve">ara </w:t>
      </w:r>
      <w:r w:rsidR="00485388" w:rsidRPr="005B15D9">
        <w:rPr>
          <w:rFonts w:ascii="Arial" w:hAnsi="Arial" w:cs="Arial"/>
          <w:bCs/>
        </w:rPr>
        <w:t xml:space="preserve">o desenvolvimento deste artigo </w:t>
      </w:r>
      <w:r w:rsidR="0041666D" w:rsidRPr="005B15D9">
        <w:rPr>
          <w:rFonts w:ascii="Arial" w:hAnsi="Arial" w:cs="Arial"/>
          <w:bCs/>
        </w:rPr>
        <w:t xml:space="preserve">foram utilizados os </w:t>
      </w:r>
      <w:r w:rsidR="00D06E63" w:rsidRPr="005B15D9">
        <w:rPr>
          <w:rFonts w:ascii="Arial" w:hAnsi="Arial" w:cs="Arial"/>
          <w:bCs/>
        </w:rPr>
        <w:t>materiais</w:t>
      </w:r>
      <w:r w:rsidR="007B25EC">
        <w:rPr>
          <w:rFonts w:ascii="Arial" w:hAnsi="Arial" w:cs="Arial"/>
          <w:bCs/>
        </w:rPr>
        <w:t xml:space="preserve"> </w:t>
      </w:r>
      <w:r w:rsidR="00BD3352" w:rsidRPr="005B15D9">
        <w:rPr>
          <w:rFonts w:ascii="Arial" w:hAnsi="Arial" w:cs="Arial"/>
          <w:bCs/>
        </w:rPr>
        <w:t>conforme segue</w:t>
      </w:r>
      <w:r w:rsidR="0041666D" w:rsidRPr="005B15D9">
        <w:rPr>
          <w:rFonts w:ascii="Arial" w:hAnsi="Arial" w:cs="Arial"/>
          <w:bCs/>
        </w:rPr>
        <w:t>.</w:t>
      </w:r>
    </w:p>
    <w:p w:rsidR="00D06E63" w:rsidRPr="005B15D9" w:rsidRDefault="00D06E63" w:rsidP="0007512F">
      <w:pPr>
        <w:spacing w:after="0" w:line="312" w:lineRule="auto"/>
        <w:ind w:firstLine="567"/>
        <w:jc w:val="both"/>
        <w:rPr>
          <w:rFonts w:ascii="Arial" w:hAnsi="Arial" w:cs="Arial"/>
        </w:rPr>
      </w:pPr>
      <w:r w:rsidRPr="005B15D9">
        <w:rPr>
          <w:rFonts w:ascii="Arial" w:hAnsi="Arial" w:cs="Arial"/>
        </w:rPr>
        <w:t>Fotografias aéreas em preto e branco de 1988 do aerolevantamento rea</w:t>
      </w:r>
      <w:r w:rsidR="00EB4638" w:rsidRPr="005B15D9">
        <w:rPr>
          <w:rFonts w:ascii="Arial" w:hAnsi="Arial" w:cs="Arial"/>
        </w:rPr>
        <w:t>lizado pela Eletropaulo SIMAC (</w:t>
      </w:r>
      <w:r w:rsidRPr="005B15D9">
        <w:rPr>
          <w:rFonts w:ascii="Arial" w:hAnsi="Arial" w:cs="Arial"/>
        </w:rPr>
        <w:t>Projeto Vale do Paraíba</w:t>
      </w:r>
      <w:r w:rsidR="00044CEA" w:rsidRPr="005B15D9">
        <w:rPr>
          <w:rFonts w:ascii="Arial" w:hAnsi="Arial" w:cs="Arial"/>
        </w:rPr>
        <w:t>)</w:t>
      </w:r>
      <w:r w:rsidRPr="005B15D9">
        <w:rPr>
          <w:rFonts w:ascii="Arial" w:hAnsi="Arial" w:cs="Arial"/>
        </w:rPr>
        <w:t xml:space="preserve"> e coloridas de 1997 do levantamento fotográfico realizado pelo Instituto Nacional de Pesquisas Espaciais, ambas na escala aproximada de 1:10.000 obtidas junto á Secretaria de Planejamento da prefeitura municipal de São José dos Campos. </w:t>
      </w:r>
    </w:p>
    <w:p w:rsidR="00D06E63" w:rsidRPr="005B15D9" w:rsidRDefault="00D06E63" w:rsidP="0007512F">
      <w:pPr>
        <w:spacing w:after="0" w:line="312" w:lineRule="auto"/>
        <w:ind w:firstLine="567"/>
        <w:jc w:val="both"/>
        <w:rPr>
          <w:rFonts w:ascii="Arial" w:hAnsi="Arial" w:cs="Arial"/>
        </w:rPr>
      </w:pPr>
      <w:r w:rsidRPr="005B15D9">
        <w:rPr>
          <w:rFonts w:ascii="Arial" w:hAnsi="Arial" w:cs="Arial"/>
        </w:rPr>
        <w:t>Imagens Orbitais dos anos de 2007 e 2015 obtidas através do Software Google Earth.</w:t>
      </w:r>
    </w:p>
    <w:p w:rsidR="00543845" w:rsidRPr="005B15D9" w:rsidRDefault="00F0441B" w:rsidP="0007512F">
      <w:pPr>
        <w:spacing w:after="0" w:line="312" w:lineRule="auto"/>
        <w:ind w:right="45" w:firstLine="567"/>
        <w:jc w:val="both"/>
        <w:rPr>
          <w:rFonts w:ascii="Arial" w:hAnsi="Arial" w:cs="Arial"/>
        </w:rPr>
      </w:pPr>
      <w:r w:rsidRPr="005B15D9">
        <w:rPr>
          <w:rFonts w:ascii="Arial" w:hAnsi="Arial" w:cs="Arial"/>
        </w:rPr>
        <w:t>Para o alcance do objetivo proposto no presente trabalho, foi realizada a seleção dos produtos fotográficos e imagens orbitais, conforme relacionados anteriormente. Através da análise e interpretação das fotografias</w:t>
      </w:r>
      <w:r w:rsidR="00543845" w:rsidRPr="005B15D9">
        <w:rPr>
          <w:rFonts w:ascii="Arial" w:hAnsi="Arial" w:cs="Arial"/>
        </w:rPr>
        <w:t xml:space="preserve"> a</w:t>
      </w:r>
      <w:r w:rsidR="00AF501B" w:rsidRPr="005B15D9">
        <w:rPr>
          <w:rFonts w:ascii="Arial" w:hAnsi="Arial" w:cs="Arial"/>
        </w:rPr>
        <w:t>é</w:t>
      </w:r>
      <w:r w:rsidR="00543845" w:rsidRPr="005B15D9">
        <w:rPr>
          <w:rFonts w:ascii="Arial" w:hAnsi="Arial" w:cs="Arial"/>
        </w:rPr>
        <w:t>reas</w:t>
      </w:r>
      <w:r w:rsidRPr="005B15D9">
        <w:rPr>
          <w:rFonts w:ascii="Arial" w:hAnsi="Arial" w:cs="Arial"/>
        </w:rPr>
        <w:t xml:space="preserve"> e imagens orbitais foi realizado </w:t>
      </w:r>
      <w:r w:rsidR="000962BA" w:rsidRPr="005B15D9">
        <w:rPr>
          <w:rFonts w:ascii="Arial" w:hAnsi="Arial" w:cs="Arial"/>
        </w:rPr>
        <w:t xml:space="preserve">o mapeamento </w:t>
      </w:r>
      <w:r w:rsidRPr="005B15D9">
        <w:rPr>
          <w:rFonts w:ascii="Arial" w:hAnsi="Arial" w:cs="Arial"/>
        </w:rPr>
        <w:t xml:space="preserve">das edificaçõesnos loteamentos Águas do Canindú I e II e Chácaras Havaí para </w:t>
      </w:r>
      <w:r w:rsidR="000962BA" w:rsidRPr="005B15D9">
        <w:rPr>
          <w:rFonts w:ascii="Arial" w:hAnsi="Arial" w:cs="Arial"/>
        </w:rPr>
        <w:t>1</w:t>
      </w:r>
      <w:r w:rsidRPr="005B15D9">
        <w:rPr>
          <w:rFonts w:ascii="Arial" w:hAnsi="Arial" w:cs="Arial"/>
        </w:rPr>
        <w:t>988</w:t>
      </w:r>
      <w:r w:rsidR="000962BA" w:rsidRPr="005B15D9">
        <w:rPr>
          <w:rFonts w:ascii="Arial" w:hAnsi="Arial" w:cs="Arial"/>
        </w:rPr>
        <w:t>, 1997, 2007 e 2015</w:t>
      </w:r>
      <w:r w:rsidRPr="005B15D9">
        <w:rPr>
          <w:rFonts w:ascii="Arial" w:hAnsi="Arial" w:cs="Arial"/>
        </w:rPr>
        <w:t xml:space="preserve"> a 2015</w:t>
      </w:r>
      <w:r w:rsidR="000962BA" w:rsidRPr="005B15D9">
        <w:rPr>
          <w:rFonts w:ascii="Arial" w:hAnsi="Arial" w:cs="Arial"/>
        </w:rPr>
        <w:t>. Os critérios adotados para a identificação dos alvos mapeados</w:t>
      </w:r>
      <w:r w:rsidR="003A2851" w:rsidRPr="005B15D9">
        <w:rPr>
          <w:rFonts w:ascii="Arial" w:hAnsi="Arial" w:cs="Arial"/>
        </w:rPr>
        <w:t>foram</w:t>
      </w:r>
      <w:r w:rsidRPr="005B15D9">
        <w:rPr>
          <w:rFonts w:ascii="Arial" w:hAnsi="Arial" w:cs="Arial"/>
        </w:rPr>
        <w:t xml:space="preserve">baseados em elementos primários e secundários contidos </w:t>
      </w:r>
      <w:r w:rsidR="0028427C" w:rsidRPr="005B15D9">
        <w:rPr>
          <w:rFonts w:ascii="Arial" w:hAnsi="Arial" w:cs="Arial"/>
        </w:rPr>
        <w:t>nas fotografias</w:t>
      </w:r>
      <w:r w:rsidR="00543845" w:rsidRPr="005B15D9">
        <w:rPr>
          <w:rFonts w:ascii="Arial" w:hAnsi="Arial" w:cs="Arial"/>
        </w:rPr>
        <w:t xml:space="preserve"> aéreas</w:t>
      </w:r>
      <w:r w:rsidRPr="005B15D9">
        <w:rPr>
          <w:rFonts w:ascii="Arial" w:hAnsi="Arial" w:cs="Arial"/>
        </w:rPr>
        <w:t xml:space="preserve"> e nas imagens orbitais</w:t>
      </w:r>
      <w:r w:rsidR="000962BA" w:rsidRPr="005B15D9">
        <w:rPr>
          <w:rFonts w:ascii="Arial" w:hAnsi="Arial" w:cs="Arial"/>
        </w:rPr>
        <w:t>, conforme Je</w:t>
      </w:r>
      <w:r w:rsidR="00A825D5" w:rsidRPr="005B15D9">
        <w:rPr>
          <w:rFonts w:ascii="Arial" w:hAnsi="Arial" w:cs="Arial"/>
        </w:rPr>
        <w:t>n</w:t>
      </w:r>
      <w:r w:rsidR="000962BA" w:rsidRPr="005B15D9">
        <w:rPr>
          <w:rFonts w:ascii="Arial" w:hAnsi="Arial" w:cs="Arial"/>
        </w:rPr>
        <w:t>sen (2009) que inclui (Localização e cor) como elementos primários e (tamanho, forma e textura) como secundários.</w:t>
      </w:r>
    </w:p>
    <w:p w:rsidR="002B7390" w:rsidRPr="005B15D9" w:rsidRDefault="00543845" w:rsidP="0007512F">
      <w:pPr>
        <w:spacing w:after="0" w:line="312" w:lineRule="auto"/>
        <w:ind w:right="45" w:firstLine="567"/>
        <w:jc w:val="both"/>
        <w:rPr>
          <w:rFonts w:ascii="Arial" w:hAnsi="Arial" w:cs="Arial"/>
        </w:rPr>
      </w:pPr>
      <w:r w:rsidRPr="005B15D9">
        <w:rPr>
          <w:rFonts w:ascii="Arial" w:hAnsi="Arial" w:cs="Arial"/>
        </w:rPr>
        <w:t>Utilizou-se o software Arcgis 10.</w:t>
      </w:r>
      <w:r w:rsidR="00044CEA" w:rsidRPr="005B15D9">
        <w:rPr>
          <w:rFonts w:ascii="Arial" w:hAnsi="Arial" w:cs="Arial"/>
        </w:rPr>
        <w:t>2</w:t>
      </w:r>
      <w:r w:rsidRPr="005B15D9">
        <w:rPr>
          <w:rFonts w:ascii="Arial" w:hAnsi="Arial" w:cs="Arial"/>
        </w:rPr>
        <w:t xml:space="preserve"> para o </w:t>
      </w:r>
      <w:r w:rsidR="00FE7F79" w:rsidRPr="005B15D9">
        <w:rPr>
          <w:rFonts w:ascii="Arial" w:hAnsi="Arial" w:cs="Arial"/>
        </w:rPr>
        <w:t>geo</w:t>
      </w:r>
      <w:r w:rsidR="003178C1" w:rsidRPr="005B15D9">
        <w:rPr>
          <w:rFonts w:ascii="Arial" w:hAnsi="Arial" w:cs="Arial"/>
        </w:rPr>
        <w:t>r</w:t>
      </w:r>
      <w:r w:rsidR="00FE7F79" w:rsidRPr="005B15D9">
        <w:rPr>
          <w:rFonts w:ascii="Arial" w:hAnsi="Arial" w:cs="Arial"/>
        </w:rPr>
        <w:t xml:space="preserve">referenciamento e </w:t>
      </w:r>
      <w:r w:rsidRPr="005B15D9">
        <w:rPr>
          <w:rFonts w:ascii="Arial" w:hAnsi="Arial" w:cs="Arial"/>
        </w:rPr>
        <w:t xml:space="preserve">tratamento da base de dados, bem </w:t>
      </w:r>
      <w:r w:rsidR="003A2851" w:rsidRPr="005B15D9">
        <w:rPr>
          <w:rFonts w:ascii="Arial" w:hAnsi="Arial" w:cs="Arial"/>
        </w:rPr>
        <w:t xml:space="preserve">como, </w:t>
      </w:r>
      <w:r w:rsidR="00FE7F79" w:rsidRPr="005B15D9">
        <w:rPr>
          <w:rFonts w:ascii="Arial" w:hAnsi="Arial" w:cs="Arial"/>
        </w:rPr>
        <w:t xml:space="preserve">para elaboração das bases temáticas contendo a espacialização das edificações e a quantificação das áreas construídas nos respectivos loteamentos </w:t>
      </w:r>
      <w:r w:rsidR="007D6E2A" w:rsidRPr="005B15D9">
        <w:rPr>
          <w:rFonts w:ascii="Arial" w:hAnsi="Arial" w:cs="Arial"/>
        </w:rPr>
        <w:t>n</w:t>
      </w:r>
      <w:r w:rsidR="00FE7F79" w:rsidRPr="005B15D9">
        <w:rPr>
          <w:rFonts w:ascii="Arial" w:hAnsi="Arial" w:cs="Arial"/>
        </w:rPr>
        <w:t xml:space="preserve">o período </w:t>
      </w:r>
      <w:r w:rsidR="003A2851" w:rsidRPr="005B15D9">
        <w:rPr>
          <w:rFonts w:ascii="Arial" w:hAnsi="Arial" w:cs="Arial"/>
        </w:rPr>
        <w:t xml:space="preserve">analisado. </w:t>
      </w:r>
      <w:r w:rsidR="0028427C" w:rsidRPr="005B15D9">
        <w:rPr>
          <w:rFonts w:ascii="Arial" w:hAnsi="Arial" w:cs="Arial"/>
        </w:rPr>
        <w:t>A disponibilidade do mapa de declividade para a área de estudo Faria et al. (2015) permitiu realizar o mapeamento e a quantificação da expansão das ocupações irregulares nas diferentes classes de declividade para o período analisado.</w:t>
      </w:r>
    </w:p>
    <w:p w:rsidR="00576B91" w:rsidRPr="005B15D9" w:rsidRDefault="00576B91" w:rsidP="00141485">
      <w:pPr>
        <w:rPr>
          <w:rFonts w:ascii="Arial" w:hAnsi="Arial" w:cs="Arial"/>
        </w:rPr>
      </w:pPr>
    </w:p>
    <w:p w:rsidR="002B7390" w:rsidRPr="005B15D9" w:rsidRDefault="00044CEA" w:rsidP="002B7390">
      <w:pPr>
        <w:rPr>
          <w:rFonts w:ascii="Arial" w:hAnsi="Arial" w:cs="Arial"/>
          <w:b/>
        </w:rPr>
      </w:pPr>
      <w:r w:rsidRPr="005B15D9">
        <w:rPr>
          <w:rFonts w:ascii="Arial" w:hAnsi="Arial" w:cs="Arial"/>
          <w:b/>
        </w:rPr>
        <w:t>3</w:t>
      </w:r>
      <w:r w:rsidR="002B7390" w:rsidRPr="005B15D9">
        <w:rPr>
          <w:rFonts w:ascii="Arial" w:hAnsi="Arial" w:cs="Arial"/>
          <w:b/>
        </w:rPr>
        <w:t xml:space="preserve">. RESULTADOS E </w:t>
      </w:r>
      <w:r w:rsidR="0047168F" w:rsidRPr="005B15D9">
        <w:rPr>
          <w:rFonts w:ascii="Arial" w:hAnsi="Arial" w:cs="Arial"/>
          <w:b/>
        </w:rPr>
        <w:t>DISCUSSÃO</w:t>
      </w:r>
    </w:p>
    <w:p w:rsidR="002B7390" w:rsidRPr="005B15D9" w:rsidRDefault="002B7390" w:rsidP="00141485">
      <w:pPr>
        <w:spacing w:after="0" w:line="312" w:lineRule="auto"/>
        <w:ind w:firstLine="709"/>
        <w:jc w:val="both"/>
        <w:rPr>
          <w:rFonts w:ascii="Arial" w:hAnsi="Arial" w:cs="Arial"/>
        </w:rPr>
      </w:pPr>
      <w:r w:rsidRPr="005B15D9">
        <w:rPr>
          <w:rFonts w:ascii="Arial" w:hAnsi="Arial" w:cs="Arial"/>
        </w:rPr>
        <w:t xml:space="preserve">Os loteamentos Águas do Canindú I e II e Chácaras Havaí localizam-se em áreas suscetíveis a desastres de escorregamento. Isto se deve pelo fato de se tratarem de áreas com características ambientalmente suscetíveis ao desenvolvimento deste tipo de processo geológico, e somadas proporções das </w:t>
      </w:r>
      <w:r w:rsidR="003F2FF0" w:rsidRPr="005B15D9">
        <w:rPr>
          <w:rFonts w:ascii="Arial" w:hAnsi="Arial" w:cs="Arial"/>
        </w:rPr>
        <w:t xml:space="preserve">intervenções humanas nos mesmos conforme </w:t>
      </w:r>
      <w:r w:rsidR="003A2851" w:rsidRPr="005B15D9">
        <w:rPr>
          <w:rFonts w:ascii="Arial" w:hAnsi="Arial" w:cs="Arial"/>
        </w:rPr>
        <w:t>Valério</w:t>
      </w:r>
      <w:r w:rsidR="003F2FF0" w:rsidRPr="005B15D9">
        <w:rPr>
          <w:rFonts w:ascii="Arial" w:hAnsi="Arial" w:cs="Arial"/>
        </w:rPr>
        <w:t xml:space="preserve"> Filho et al.</w:t>
      </w:r>
      <w:r w:rsidR="008E24E1" w:rsidRPr="005B15D9">
        <w:rPr>
          <w:rFonts w:ascii="Arial" w:hAnsi="Arial" w:cs="Arial"/>
        </w:rPr>
        <w:t xml:space="preserve">(2014). A Figura </w:t>
      </w:r>
      <w:r w:rsidR="00A230B3" w:rsidRPr="005B15D9">
        <w:rPr>
          <w:rFonts w:ascii="Arial" w:hAnsi="Arial" w:cs="Arial"/>
        </w:rPr>
        <w:t>02</w:t>
      </w:r>
      <w:r w:rsidR="008E24E1" w:rsidRPr="005B15D9">
        <w:rPr>
          <w:rFonts w:ascii="Arial" w:hAnsi="Arial" w:cs="Arial"/>
        </w:rPr>
        <w:t xml:space="preserve"> ilustraa imagem orbital colorida da área de estudo</w:t>
      </w:r>
      <w:r w:rsidR="00E25679" w:rsidRPr="005B15D9">
        <w:rPr>
          <w:rFonts w:ascii="Arial" w:hAnsi="Arial" w:cs="Arial"/>
        </w:rPr>
        <w:t xml:space="preserve"> para o ano de 2015 a qual proporciona o estágio de ocupação pelas edificações dispersas na área</w:t>
      </w:r>
      <w:r w:rsidR="0041666D" w:rsidRPr="005B15D9">
        <w:rPr>
          <w:rFonts w:ascii="Arial" w:hAnsi="Arial" w:cs="Arial"/>
        </w:rPr>
        <w:t xml:space="preserve"> de estudo</w:t>
      </w:r>
      <w:r w:rsidR="00E25679" w:rsidRPr="005B15D9">
        <w:rPr>
          <w:rFonts w:ascii="Arial" w:hAnsi="Arial" w:cs="Arial"/>
        </w:rPr>
        <w:t>.</w:t>
      </w:r>
    </w:p>
    <w:p w:rsidR="0007512F" w:rsidRPr="005B15D9" w:rsidRDefault="0007512F" w:rsidP="0007512F">
      <w:pPr>
        <w:spacing w:after="0" w:line="312" w:lineRule="auto"/>
        <w:jc w:val="both"/>
        <w:rPr>
          <w:rFonts w:ascii="Arial" w:hAnsi="Arial" w:cs="Arial"/>
        </w:rPr>
      </w:pPr>
      <w:r w:rsidRPr="005B15D9">
        <w:rPr>
          <w:rFonts w:ascii="Arial" w:hAnsi="Arial" w:cs="Arial"/>
          <w:noProof/>
        </w:rPr>
        <w:drawing>
          <wp:inline distT="0" distB="0" distL="0" distR="0">
            <wp:extent cx="5295900" cy="2505075"/>
            <wp:effectExtent l="19050" t="0" r="0" b="0"/>
            <wp:docPr id="2" name="Imagem 1" descr="loca 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 lote.jpg"/>
                    <pic:cNvPicPr/>
                  </pic:nvPicPr>
                  <pic:blipFill>
                    <a:blip r:embed="rId9" cstate="print"/>
                    <a:srcRect l="1940" t="10847"/>
                    <a:stretch>
                      <a:fillRect/>
                    </a:stretch>
                  </pic:blipFill>
                  <pic:spPr>
                    <a:xfrm>
                      <a:off x="0" y="0"/>
                      <a:ext cx="5295900" cy="2505075"/>
                    </a:xfrm>
                    <a:prstGeom prst="rect">
                      <a:avLst/>
                    </a:prstGeom>
                  </pic:spPr>
                </pic:pic>
              </a:graphicData>
            </a:graphic>
          </wp:inline>
        </w:drawing>
      </w:r>
    </w:p>
    <w:p w:rsidR="003A2851" w:rsidRPr="005B15D9" w:rsidRDefault="000332C6" w:rsidP="0007512F">
      <w:pPr>
        <w:spacing w:after="0" w:line="240" w:lineRule="auto"/>
        <w:ind w:firstLine="426"/>
        <w:jc w:val="both"/>
        <w:rPr>
          <w:rFonts w:ascii="Arial" w:hAnsi="Arial" w:cs="Arial"/>
          <w:sz w:val="20"/>
          <w:szCs w:val="20"/>
        </w:rPr>
      </w:pPr>
      <w:r w:rsidRPr="005B15D9">
        <w:rPr>
          <w:rFonts w:ascii="Arial" w:hAnsi="Arial" w:cs="Arial"/>
          <w:sz w:val="20"/>
          <w:szCs w:val="20"/>
        </w:rPr>
        <w:t>Figura 0</w:t>
      </w:r>
      <w:r w:rsidR="00A230B3" w:rsidRPr="005B15D9">
        <w:rPr>
          <w:rFonts w:ascii="Arial" w:hAnsi="Arial" w:cs="Arial"/>
          <w:sz w:val="20"/>
          <w:szCs w:val="20"/>
        </w:rPr>
        <w:t>2</w:t>
      </w:r>
      <w:r w:rsidRPr="005B15D9">
        <w:rPr>
          <w:rFonts w:ascii="Arial" w:hAnsi="Arial" w:cs="Arial"/>
          <w:sz w:val="20"/>
          <w:szCs w:val="20"/>
        </w:rPr>
        <w:t xml:space="preserve"> – Imagem orbital colorida da área de estudo</w:t>
      </w:r>
      <w:r w:rsidR="00044CEA" w:rsidRPr="005B15D9">
        <w:rPr>
          <w:rFonts w:ascii="Arial" w:hAnsi="Arial" w:cs="Arial"/>
          <w:sz w:val="20"/>
          <w:szCs w:val="20"/>
        </w:rPr>
        <w:t xml:space="preserve"> (29/08/2015)</w:t>
      </w:r>
    </w:p>
    <w:p w:rsidR="003178C1" w:rsidRPr="005B15D9" w:rsidRDefault="003178C1" w:rsidP="0007512F">
      <w:pPr>
        <w:spacing w:line="240" w:lineRule="auto"/>
        <w:ind w:firstLine="426"/>
        <w:jc w:val="both"/>
        <w:rPr>
          <w:rFonts w:ascii="Arial" w:hAnsi="Arial" w:cs="Arial"/>
          <w:sz w:val="20"/>
          <w:szCs w:val="20"/>
        </w:rPr>
      </w:pPr>
      <w:r w:rsidRPr="005B15D9">
        <w:rPr>
          <w:rFonts w:ascii="Arial" w:hAnsi="Arial" w:cs="Arial"/>
          <w:sz w:val="20"/>
          <w:szCs w:val="20"/>
        </w:rPr>
        <w:t xml:space="preserve">Fonte: </w:t>
      </w:r>
      <w:r w:rsidR="00366D0D">
        <w:rPr>
          <w:rFonts w:ascii="Arial" w:hAnsi="Arial" w:cs="Arial"/>
          <w:sz w:val="20"/>
          <w:szCs w:val="20"/>
        </w:rPr>
        <w:t xml:space="preserve">Adaptado de </w:t>
      </w:r>
      <w:r w:rsidRPr="005B15D9">
        <w:rPr>
          <w:rFonts w:ascii="Arial" w:hAnsi="Arial" w:cs="Arial"/>
          <w:sz w:val="20"/>
          <w:szCs w:val="20"/>
        </w:rPr>
        <w:t xml:space="preserve">Google </w:t>
      </w:r>
      <w:r w:rsidR="0041666D" w:rsidRPr="005B15D9">
        <w:rPr>
          <w:rFonts w:ascii="Arial" w:hAnsi="Arial" w:cs="Arial"/>
          <w:sz w:val="20"/>
          <w:szCs w:val="20"/>
        </w:rPr>
        <w:t>Earth</w:t>
      </w:r>
    </w:p>
    <w:p w:rsidR="003178C1" w:rsidRPr="005B15D9" w:rsidRDefault="001B1957" w:rsidP="00927946">
      <w:pPr>
        <w:spacing w:after="0" w:line="312" w:lineRule="auto"/>
        <w:ind w:firstLine="567"/>
        <w:jc w:val="both"/>
        <w:rPr>
          <w:rFonts w:ascii="Arial" w:hAnsi="Arial" w:cs="Arial"/>
        </w:rPr>
      </w:pPr>
      <w:r w:rsidRPr="005B15D9">
        <w:rPr>
          <w:rFonts w:ascii="Arial" w:hAnsi="Arial" w:cs="Arial"/>
        </w:rPr>
        <w:t>Através da análise e interpretação das fotografias aéreas</w:t>
      </w:r>
      <w:r w:rsidR="007D6E2A" w:rsidRPr="005B15D9">
        <w:rPr>
          <w:rFonts w:ascii="Arial" w:hAnsi="Arial" w:cs="Arial"/>
        </w:rPr>
        <w:t xml:space="preserve"> d</w:t>
      </w:r>
      <w:r w:rsidRPr="005B15D9">
        <w:rPr>
          <w:rFonts w:ascii="Arial" w:hAnsi="Arial" w:cs="Arial"/>
        </w:rPr>
        <w:t>as imagens orbitais e o suporte das geotecnologias</w:t>
      </w:r>
      <w:r w:rsidR="0041666D" w:rsidRPr="005B15D9">
        <w:rPr>
          <w:rFonts w:ascii="Arial" w:hAnsi="Arial" w:cs="Arial"/>
        </w:rPr>
        <w:t>,</w:t>
      </w:r>
      <w:r w:rsidRPr="005B15D9">
        <w:rPr>
          <w:rFonts w:ascii="Arial" w:hAnsi="Arial" w:cs="Arial"/>
        </w:rPr>
        <w:t xml:space="preserve"> foi possível mapear a dinâmica do crescimento das edificações na área de estudo </w:t>
      </w:r>
      <w:r w:rsidR="007D6E2A" w:rsidRPr="005B15D9">
        <w:rPr>
          <w:rFonts w:ascii="Arial" w:hAnsi="Arial" w:cs="Arial"/>
        </w:rPr>
        <w:t>para</w:t>
      </w:r>
      <w:r w:rsidRPr="005B15D9">
        <w:rPr>
          <w:rFonts w:ascii="Arial" w:hAnsi="Arial" w:cs="Arial"/>
        </w:rPr>
        <w:t xml:space="preserve"> 1988, 1997, 2007 e 2015. A Figura </w:t>
      </w:r>
      <w:r w:rsidR="003178C1" w:rsidRPr="005B15D9">
        <w:rPr>
          <w:rFonts w:ascii="Arial" w:hAnsi="Arial" w:cs="Arial"/>
        </w:rPr>
        <w:t>0</w:t>
      </w:r>
      <w:r w:rsidR="005F1DC0" w:rsidRPr="005B15D9">
        <w:rPr>
          <w:rFonts w:ascii="Arial" w:hAnsi="Arial" w:cs="Arial"/>
        </w:rPr>
        <w:t xml:space="preserve">3 </w:t>
      </w:r>
      <w:r w:rsidR="003178C1" w:rsidRPr="005B15D9">
        <w:rPr>
          <w:rFonts w:ascii="Arial" w:hAnsi="Arial" w:cs="Arial"/>
        </w:rPr>
        <w:t xml:space="preserve">apresenta o mapeamento das edificações no período </w:t>
      </w:r>
      <w:r w:rsidR="003A2851" w:rsidRPr="005B15D9">
        <w:rPr>
          <w:rFonts w:ascii="Arial" w:hAnsi="Arial" w:cs="Arial"/>
        </w:rPr>
        <w:t xml:space="preserve">analisado. </w:t>
      </w:r>
      <w:r w:rsidR="007D6E2A" w:rsidRPr="005B15D9">
        <w:rPr>
          <w:rFonts w:ascii="Arial" w:hAnsi="Arial" w:cs="Arial"/>
        </w:rPr>
        <w:t>V</w:t>
      </w:r>
      <w:r w:rsidR="00573071" w:rsidRPr="005B15D9">
        <w:rPr>
          <w:rFonts w:ascii="Arial" w:hAnsi="Arial" w:cs="Arial"/>
        </w:rPr>
        <w:t xml:space="preserve">erifica-se que houve um crescimento </w:t>
      </w:r>
      <w:r w:rsidR="002A36EE" w:rsidRPr="005B15D9">
        <w:rPr>
          <w:rFonts w:ascii="Arial" w:hAnsi="Arial" w:cs="Arial"/>
        </w:rPr>
        <w:t>significativo das áreas ocupadas por novas edificações irregulares na área de estudo.</w:t>
      </w:r>
      <w:r w:rsidR="007D6E2A" w:rsidRPr="005B15D9">
        <w:rPr>
          <w:rFonts w:ascii="Arial" w:hAnsi="Arial" w:cs="Arial"/>
        </w:rPr>
        <w:t xml:space="preserve"> A Tabela</w:t>
      </w:r>
      <w:r w:rsidR="0041666D" w:rsidRPr="005B15D9">
        <w:rPr>
          <w:rFonts w:ascii="Arial" w:hAnsi="Arial" w:cs="Arial"/>
        </w:rPr>
        <w:t xml:space="preserve"> 0</w:t>
      </w:r>
      <w:r w:rsidR="001E327F" w:rsidRPr="005B15D9">
        <w:rPr>
          <w:rFonts w:ascii="Arial" w:hAnsi="Arial" w:cs="Arial"/>
        </w:rPr>
        <w:t>1</w:t>
      </w:r>
      <w:r w:rsidR="0041666D" w:rsidRPr="005B15D9">
        <w:rPr>
          <w:rFonts w:ascii="Arial" w:hAnsi="Arial" w:cs="Arial"/>
        </w:rPr>
        <w:t xml:space="preserve">apresenta a taxa de crescimento </w:t>
      </w:r>
      <w:r w:rsidR="005F1DC0" w:rsidRPr="005B15D9">
        <w:rPr>
          <w:rFonts w:ascii="Arial" w:hAnsi="Arial" w:cs="Arial"/>
        </w:rPr>
        <w:t xml:space="preserve">das edificações irregulares no período. </w:t>
      </w:r>
    </w:p>
    <w:p w:rsidR="00927946" w:rsidRPr="005B15D9" w:rsidRDefault="00927946" w:rsidP="00927946">
      <w:pPr>
        <w:spacing w:after="0" w:line="312" w:lineRule="auto"/>
        <w:jc w:val="both"/>
        <w:rPr>
          <w:rFonts w:ascii="Arial" w:hAnsi="Arial" w:cs="Arial"/>
        </w:rPr>
      </w:pPr>
      <w:r w:rsidRPr="005B15D9">
        <w:rPr>
          <w:rFonts w:ascii="Arial" w:hAnsi="Arial" w:cs="Arial"/>
          <w:noProof/>
        </w:rPr>
        <w:lastRenderedPageBreak/>
        <w:drawing>
          <wp:inline distT="0" distB="0" distL="0" distR="0">
            <wp:extent cx="5400040" cy="3244215"/>
            <wp:effectExtent l="19050" t="0" r="0" b="0"/>
            <wp:docPr id="3" name="Imagem 2" descr="m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jpg"/>
                    <pic:cNvPicPr/>
                  </pic:nvPicPr>
                  <pic:blipFill>
                    <a:blip r:embed="rId10"/>
                    <a:stretch>
                      <a:fillRect/>
                    </a:stretch>
                  </pic:blipFill>
                  <pic:spPr>
                    <a:xfrm>
                      <a:off x="0" y="0"/>
                      <a:ext cx="5400040" cy="3244215"/>
                    </a:xfrm>
                    <a:prstGeom prst="rect">
                      <a:avLst/>
                    </a:prstGeom>
                  </pic:spPr>
                </pic:pic>
              </a:graphicData>
            </a:graphic>
          </wp:inline>
        </w:drawing>
      </w:r>
    </w:p>
    <w:p w:rsidR="002A36EE" w:rsidRPr="005B15D9" w:rsidRDefault="007B710D" w:rsidP="00927946">
      <w:pPr>
        <w:spacing w:after="0" w:line="26" w:lineRule="atLeast"/>
        <w:ind w:left="567"/>
        <w:jc w:val="both"/>
        <w:rPr>
          <w:rFonts w:ascii="Arial" w:hAnsi="Arial" w:cs="Arial"/>
          <w:sz w:val="20"/>
          <w:szCs w:val="20"/>
        </w:rPr>
      </w:pPr>
      <w:r w:rsidRPr="005B15D9">
        <w:rPr>
          <w:rFonts w:ascii="Arial" w:hAnsi="Arial" w:cs="Arial"/>
          <w:sz w:val="20"/>
          <w:szCs w:val="20"/>
        </w:rPr>
        <w:t>Figura 03: Espacialização das</w:t>
      </w:r>
      <w:r w:rsidR="005B15D9" w:rsidRPr="005B15D9">
        <w:rPr>
          <w:rFonts w:ascii="Arial" w:hAnsi="Arial" w:cs="Arial"/>
          <w:sz w:val="20"/>
          <w:szCs w:val="20"/>
        </w:rPr>
        <w:t xml:space="preserve"> áreas edificadas</w:t>
      </w:r>
      <w:r w:rsidRPr="005B15D9">
        <w:rPr>
          <w:rFonts w:ascii="Arial" w:hAnsi="Arial" w:cs="Arial"/>
          <w:sz w:val="20"/>
          <w:szCs w:val="20"/>
        </w:rPr>
        <w:t xml:space="preserve"> nos loteamentos nos períodos de 1988, 1997, 2007 e 2015.</w:t>
      </w:r>
    </w:p>
    <w:p w:rsidR="007B710D" w:rsidRPr="005B15D9" w:rsidRDefault="007B710D" w:rsidP="00927946">
      <w:pPr>
        <w:spacing w:after="0" w:line="26" w:lineRule="atLeast"/>
        <w:ind w:left="567"/>
        <w:jc w:val="both"/>
        <w:rPr>
          <w:rFonts w:ascii="Arial" w:hAnsi="Arial" w:cs="Arial"/>
          <w:sz w:val="20"/>
          <w:szCs w:val="20"/>
        </w:rPr>
      </w:pPr>
      <w:r w:rsidRPr="005B15D9">
        <w:rPr>
          <w:rFonts w:ascii="Arial" w:hAnsi="Arial" w:cs="Arial"/>
          <w:sz w:val="20"/>
          <w:szCs w:val="20"/>
        </w:rPr>
        <w:t>F</w:t>
      </w:r>
      <w:r w:rsidR="00366D0D">
        <w:rPr>
          <w:rFonts w:ascii="Arial" w:hAnsi="Arial" w:cs="Arial"/>
          <w:sz w:val="20"/>
          <w:szCs w:val="20"/>
        </w:rPr>
        <w:t>onte: Autor (2016)</w:t>
      </w:r>
      <w:r w:rsidRPr="005B15D9">
        <w:rPr>
          <w:rFonts w:ascii="Arial" w:hAnsi="Arial" w:cs="Arial"/>
          <w:sz w:val="20"/>
          <w:szCs w:val="20"/>
        </w:rPr>
        <w:t>.</w:t>
      </w:r>
    </w:p>
    <w:p w:rsidR="002A36EE" w:rsidRPr="005B15D9" w:rsidRDefault="002A36EE" w:rsidP="00927946">
      <w:pPr>
        <w:spacing w:after="0" w:line="26" w:lineRule="atLeast"/>
        <w:ind w:left="567" w:right="45"/>
        <w:jc w:val="both"/>
        <w:rPr>
          <w:rFonts w:ascii="Arial" w:hAnsi="Arial" w:cs="Arial"/>
        </w:rPr>
      </w:pPr>
    </w:p>
    <w:p w:rsidR="002A36EE" w:rsidRPr="005B15D9" w:rsidRDefault="00A230B3" w:rsidP="00927946">
      <w:pPr>
        <w:spacing w:after="0" w:line="312" w:lineRule="auto"/>
        <w:ind w:right="45" w:firstLine="567"/>
        <w:jc w:val="both"/>
        <w:rPr>
          <w:rFonts w:ascii="Arial" w:hAnsi="Arial" w:cs="Arial"/>
        </w:rPr>
      </w:pPr>
      <w:r w:rsidRPr="005B15D9">
        <w:rPr>
          <w:rFonts w:ascii="Arial" w:hAnsi="Arial" w:cs="Arial"/>
        </w:rPr>
        <w:t>A Figura 0</w:t>
      </w:r>
      <w:r w:rsidR="005F1DC0" w:rsidRPr="005B15D9">
        <w:rPr>
          <w:rFonts w:ascii="Arial" w:hAnsi="Arial" w:cs="Arial"/>
        </w:rPr>
        <w:t>3</w:t>
      </w:r>
      <w:r w:rsidRPr="005B15D9">
        <w:rPr>
          <w:rFonts w:ascii="Arial" w:hAnsi="Arial" w:cs="Arial"/>
        </w:rPr>
        <w:t xml:space="preserve"> apresenta </w:t>
      </w:r>
      <w:r w:rsidR="002A36EE" w:rsidRPr="005B15D9">
        <w:rPr>
          <w:rFonts w:ascii="Arial" w:hAnsi="Arial" w:cs="Arial"/>
        </w:rPr>
        <w:t>a espacialização das edificações mapeadas na área de estudo no período de 1988 a 2015.</w:t>
      </w:r>
    </w:p>
    <w:p w:rsidR="002A36EE" w:rsidRPr="005B15D9" w:rsidRDefault="002A36EE" w:rsidP="00927946">
      <w:pPr>
        <w:spacing w:after="0" w:line="312" w:lineRule="auto"/>
        <w:ind w:right="45" w:firstLine="567"/>
        <w:jc w:val="both"/>
        <w:rPr>
          <w:rFonts w:ascii="Arial" w:hAnsi="Arial" w:cs="Arial"/>
        </w:rPr>
      </w:pPr>
    </w:p>
    <w:p w:rsidR="002B7390" w:rsidRPr="005B15D9" w:rsidRDefault="005A37EF" w:rsidP="00927946">
      <w:pPr>
        <w:spacing w:after="0" w:line="312" w:lineRule="auto"/>
        <w:ind w:firstLine="567"/>
        <w:jc w:val="both"/>
        <w:rPr>
          <w:rFonts w:ascii="Arial" w:hAnsi="Arial" w:cs="Arial"/>
        </w:rPr>
      </w:pPr>
      <w:r w:rsidRPr="005B15D9">
        <w:rPr>
          <w:rFonts w:ascii="Arial" w:hAnsi="Arial" w:cs="Arial"/>
        </w:rPr>
        <w:t>TABELA 01</w:t>
      </w:r>
      <w:r w:rsidR="002B7390" w:rsidRPr="005B15D9">
        <w:rPr>
          <w:rFonts w:ascii="Arial" w:hAnsi="Arial" w:cs="Arial"/>
        </w:rPr>
        <w:t xml:space="preserve"> – Quantificação da</w:t>
      </w:r>
      <w:r w:rsidR="00B8031D" w:rsidRPr="005B15D9">
        <w:rPr>
          <w:rFonts w:ascii="Arial" w:hAnsi="Arial" w:cs="Arial"/>
        </w:rPr>
        <w:t xml:space="preserve">s taxas de crescimento </w:t>
      </w:r>
      <w:r w:rsidR="003178C1" w:rsidRPr="005B15D9">
        <w:rPr>
          <w:rFonts w:ascii="Arial" w:hAnsi="Arial" w:cs="Arial"/>
        </w:rPr>
        <w:t>das edificações para</w:t>
      </w:r>
      <w:r w:rsidR="002B7390" w:rsidRPr="005B15D9">
        <w:rPr>
          <w:rFonts w:ascii="Arial" w:hAnsi="Arial" w:cs="Arial"/>
        </w:rPr>
        <w:t>1988, 1997, 2007 e 2015.</w:t>
      </w:r>
    </w:p>
    <w:p w:rsidR="00D06E63" w:rsidRPr="005B15D9" w:rsidRDefault="00D06E63" w:rsidP="00AB043A">
      <w:pPr>
        <w:spacing w:after="0" w:line="240" w:lineRule="auto"/>
        <w:jc w:val="both"/>
        <w:rPr>
          <w:rFonts w:ascii="Arial" w:hAnsi="Arial" w:cs="Arial"/>
          <w:sz w:val="20"/>
          <w:szCs w:val="20"/>
        </w:rPr>
      </w:pPr>
    </w:p>
    <w:tbl>
      <w:tblPr>
        <w:tblpPr w:leftFromText="141" w:rightFromText="141" w:vertAnchor="text" w:horzAnchor="page" w:tblpXSpec="center" w:tblpY="7"/>
        <w:tblW w:w="3955" w:type="dxa"/>
        <w:tblCellMar>
          <w:left w:w="70" w:type="dxa"/>
          <w:right w:w="70" w:type="dxa"/>
        </w:tblCellMar>
        <w:tblLook w:val="04A0"/>
      </w:tblPr>
      <w:tblGrid>
        <w:gridCol w:w="1911"/>
        <w:gridCol w:w="2044"/>
      </w:tblGrid>
      <w:tr w:rsidR="00AB043A" w:rsidRPr="005B15D9" w:rsidTr="00927946">
        <w:trPr>
          <w:trHeight w:val="298"/>
        </w:trPr>
        <w:tc>
          <w:tcPr>
            <w:tcW w:w="191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B043A" w:rsidRPr="005B15D9" w:rsidRDefault="00AB043A" w:rsidP="00E672B0">
            <w:pPr>
              <w:spacing w:after="0" w:line="240" w:lineRule="auto"/>
              <w:rPr>
                <w:rFonts w:ascii="Arial" w:eastAsia="Times New Roman" w:hAnsi="Arial" w:cs="Arial"/>
              </w:rPr>
            </w:pPr>
            <w:r w:rsidRPr="005B15D9">
              <w:rPr>
                <w:rFonts w:ascii="Arial" w:eastAsia="Times New Roman" w:hAnsi="Arial" w:cs="Arial"/>
              </w:rPr>
              <w:t> </w:t>
            </w:r>
          </w:p>
          <w:p w:rsidR="00D06E63" w:rsidRPr="005B15D9" w:rsidRDefault="00D06E63" w:rsidP="00E672B0">
            <w:pPr>
              <w:spacing w:after="0" w:line="240" w:lineRule="auto"/>
              <w:rPr>
                <w:rFonts w:ascii="Arial" w:eastAsia="Times New Roman" w:hAnsi="Arial" w:cs="Arial"/>
              </w:rPr>
            </w:pPr>
          </w:p>
        </w:tc>
        <w:tc>
          <w:tcPr>
            <w:tcW w:w="2044" w:type="dxa"/>
            <w:tcBorders>
              <w:top w:val="single" w:sz="8" w:space="0" w:color="auto"/>
              <w:left w:val="nil"/>
              <w:bottom w:val="single" w:sz="4" w:space="0" w:color="auto"/>
              <w:right w:val="single" w:sz="8" w:space="0" w:color="auto"/>
            </w:tcBorders>
            <w:shd w:val="clear" w:color="auto" w:fill="auto"/>
            <w:noWrap/>
            <w:vAlign w:val="bottom"/>
            <w:hideMark/>
          </w:tcPr>
          <w:p w:rsidR="00AB043A" w:rsidRPr="005B15D9" w:rsidRDefault="00AB043A" w:rsidP="00E672B0">
            <w:pPr>
              <w:spacing w:after="0" w:line="240" w:lineRule="auto"/>
              <w:rPr>
                <w:rFonts w:ascii="Arial" w:eastAsia="Times New Roman" w:hAnsi="Arial" w:cs="Arial"/>
              </w:rPr>
            </w:pPr>
            <w:r w:rsidRPr="005B15D9">
              <w:rPr>
                <w:rFonts w:ascii="Arial" w:eastAsia="Times New Roman" w:hAnsi="Arial" w:cs="Arial"/>
              </w:rPr>
              <w:t>Taxa de Crescimento das Edificações</w:t>
            </w:r>
          </w:p>
        </w:tc>
      </w:tr>
      <w:tr w:rsidR="00AB043A" w:rsidRPr="005B15D9" w:rsidTr="00927946">
        <w:trPr>
          <w:trHeight w:val="298"/>
        </w:trPr>
        <w:tc>
          <w:tcPr>
            <w:tcW w:w="1911" w:type="dxa"/>
            <w:tcBorders>
              <w:top w:val="nil"/>
              <w:left w:val="single" w:sz="8" w:space="0" w:color="auto"/>
              <w:bottom w:val="single" w:sz="4" w:space="0" w:color="auto"/>
              <w:right w:val="single" w:sz="4" w:space="0" w:color="auto"/>
            </w:tcBorders>
            <w:shd w:val="clear" w:color="auto" w:fill="auto"/>
            <w:noWrap/>
            <w:vAlign w:val="bottom"/>
            <w:hideMark/>
          </w:tcPr>
          <w:p w:rsidR="00AB043A" w:rsidRPr="005B15D9" w:rsidRDefault="00AB043A" w:rsidP="00E672B0">
            <w:pPr>
              <w:spacing w:after="0" w:line="240" w:lineRule="auto"/>
              <w:rPr>
                <w:rFonts w:ascii="Arial" w:eastAsia="Times New Roman" w:hAnsi="Arial" w:cs="Arial"/>
              </w:rPr>
            </w:pPr>
            <w:r w:rsidRPr="005B15D9">
              <w:rPr>
                <w:rFonts w:ascii="Arial" w:eastAsia="Times New Roman" w:hAnsi="Arial" w:cs="Arial"/>
              </w:rPr>
              <w:t>1988 a 1997</w:t>
            </w:r>
          </w:p>
        </w:tc>
        <w:tc>
          <w:tcPr>
            <w:tcW w:w="2044" w:type="dxa"/>
            <w:tcBorders>
              <w:top w:val="nil"/>
              <w:left w:val="nil"/>
              <w:bottom w:val="single" w:sz="4" w:space="0" w:color="auto"/>
              <w:right w:val="single" w:sz="8" w:space="0" w:color="auto"/>
            </w:tcBorders>
            <w:shd w:val="clear" w:color="auto" w:fill="auto"/>
            <w:noWrap/>
            <w:vAlign w:val="bottom"/>
            <w:hideMark/>
          </w:tcPr>
          <w:p w:rsidR="00AB043A" w:rsidRPr="005B15D9" w:rsidRDefault="00AB043A" w:rsidP="001117CE">
            <w:pPr>
              <w:spacing w:after="0" w:line="240" w:lineRule="auto"/>
              <w:jc w:val="right"/>
              <w:rPr>
                <w:rFonts w:ascii="Arial" w:eastAsia="Times New Roman" w:hAnsi="Arial" w:cs="Arial"/>
              </w:rPr>
            </w:pPr>
            <w:r w:rsidRPr="005B15D9">
              <w:rPr>
                <w:rFonts w:ascii="Arial" w:eastAsia="Times New Roman" w:hAnsi="Arial" w:cs="Arial"/>
              </w:rPr>
              <w:t>37</w:t>
            </w:r>
            <w:r w:rsidR="001117CE">
              <w:rPr>
                <w:rFonts w:ascii="Arial" w:eastAsia="Times New Roman" w:hAnsi="Arial" w:cs="Arial"/>
              </w:rPr>
              <w:t>33,11</w:t>
            </w:r>
            <w:r w:rsidRPr="005B15D9">
              <w:rPr>
                <w:rFonts w:ascii="Arial" w:eastAsia="Times New Roman" w:hAnsi="Arial" w:cs="Arial"/>
              </w:rPr>
              <w:t>%</w:t>
            </w:r>
          </w:p>
        </w:tc>
      </w:tr>
      <w:tr w:rsidR="00AB043A" w:rsidRPr="005B15D9" w:rsidTr="00927946">
        <w:trPr>
          <w:trHeight w:val="298"/>
        </w:trPr>
        <w:tc>
          <w:tcPr>
            <w:tcW w:w="1911" w:type="dxa"/>
            <w:tcBorders>
              <w:top w:val="nil"/>
              <w:left w:val="single" w:sz="8" w:space="0" w:color="auto"/>
              <w:bottom w:val="single" w:sz="4" w:space="0" w:color="auto"/>
              <w:right w:val="single" w:sz="4" w:space="0" w:color="auto"/>
            </w:tcBorders>
            <w:shd w:val="clear" w:color="auto" w:fill="auto"/>
            <w:noWrap/>
            <w:vAlign w:val="bottom"/>
            <w:hideMark/>
          </w:tcPr>
          <w:p w:rsidR="00AB043A" w:rsidRPr="005B15D9" w:rsidRDefault="00AB043A" w:rsidP="00E672B0">
            <w:pPr>
              <w:spacing w:after="0" w:line="240" w:lineRule="auto"/>
              <w:rPr>
                <w:rFonts w:ascii="Arial" w:eastAsia="Times New Roman" w:hAnsi="Arial" w:cs="Arial"/>
              </w:rPr>
            </w:pPr>
            <w:r w:rsidRPr="005B15D9">
              <w:rPr>
                <w:rFonts w:ascii="Arial" w:eastAsia="Times New Roman" w:hAnsi="Arial" w:cs="Arial"/>
              </w:rPr>
              <w:t>1997 a 2007</w:t>
            </w:r>
          </w:p>
        </w:tc>
        <w:tc>
          <w:tcPr>
            <w:tcW w:w="2044" w:type="dxa"/>
            <w:tcBorders>
              <w:top w:val="nil"/>
              <w:left w:val="nil"/>
              <w:bottom w:val="single" w:sz="4" w:space="0" w:color="auto"/>
              <w:right w:val="single" w:sz="8" w:space="0" w:color="auto"/>
            </w:tcBorders>
            <w:shd w:val="clear" w:color="auto" w:fill="auto"/>
            <w:noWrap/>
            <w:vAlign w:val="bottom"/>
            <w:hideMark/>
          </w:tcPr>
          <w:p w:rsidR="00AB043A" w:rsidRPr="005B15D9" w:rsidRDefault="00AB043A" w:rsidP="001117CE">
            <w:pPr>
              <w:spacing w:after="0" w:line="240" w:lineRule="auto"/>
              <w:jc w:val="right"/>
              <w:rPr>
                <w:rFonts w:ascii="Arial" w:eastAsia="Times New Roman" w:hAnsi="Arial" w:cs="Arial"/>
              </w:rPr>
            </w:pPr>
            <w:r w:rsidRPr="005B15D9">
              <w:rPr>
                <w:rFonts w:ascii="Arial" w:eastAsia="Times New Roman" w:hAnsi="Arial" w:cs="Arial"/>
              </w:rPr>
              <w:t>8</w:t>
            </w:r>
            <w:r w:rsidR="001117CE">
              <w:rPr>
                <w:rFonts w:ascii="Arial" w:eastAsia="Times New Roman" w:hAnsi="Arial" w:cs="Arial"/>
              </w:rPr>
              <w:t>8</w:t>
            </w:r>
            <w:r w:rsidRPr="005B15D9">
              <w:rPr>
                <w:rFonts w:ascii="Arial" w:eastAsia="Times New Roman" w:hAnsi="Arial" w:cs="Arial"/>
              </w:rPr>
              <w:t>,</w:t>
            </w:r>
            <w:r w:rsidR="001117CE">
              <w:rPr>
                <w:rFonts w:ascii="Arial" w:eastAsia="Times New Roman" w:hAnsi="Arial" w:cs="Arial"/>
              </w:rPr>
              <w:t>99</w:t>
            </w:r>
            <w:r w:rsidRPr="005B15D9">
              <w:rPr>
                <w:rFonts w:ascii="Arial" w:eastAsia="Times New Roman" w:hAnsi="Arial" w:cs="Arial"/>
              </w:rPr>
              <w:t>%</w:t>
            </w:r>
          </w:p>
        </w:tc>
      </w:tr>
      <w:tr w:rsidR="00AB043A" w:rsidRPr="005B15D9" w:rsidTr="00927946">
        <w:trPr>
          <w:trHeight w:val="313"/>
        </w:trPr>
        <w:tc>
          <w:tcPr>
            <w:tcW w:w="1911" w:type="dxa"/>
            <w:tcBorders>
              <w:top w:val="nil"/>
              <w:left w:val="single" w:sz="8" w:space="0" w:color="auto"/>
              <w:bottom w:val="single" w:sz="8" w:space="0" w:color="auto"/>
              <w:right w:val="single" w:sz="4" w:space="0" w:color="auto"/>
            </w:tcBorders>
            <w:shd w:val="clear" w:color="auto" w:fill="auto"/>
            <w:noWrap/>
            <w:vAlign w:val="bottom"/>
            <w:hideMark/>
          </w:tcPr>
          <w:p w:rsidR="00AB043A" w:rsidRPr="005B15D9" w:rsidRDefault="00AB043A" w:rsidP="00E672B0">
            <w:pPr>
              <w:spacing w:after="0" w:line="240" w:lineRule="auto"/>
              <w:rPr>
                <w:rFonts w:ascii="Arial" w:eastAsia="Times New Roman" w:hAnsi="Arial" w:cs="Arial"/>
              </w:rPr>
            </w:pPr>
            <w:r w:rsidRPr="005B15D9">
              <w:rPr>
                <w:rFonts w:ascii="Arial" w:eastAsia="Times New Roman" w:hAnsi="Arial" w:cs="Arial"/>
              </w:rPr>
              <w:t>2007 a 2015</w:t>
            </w:r>
          </w:p>
        </w:tc>
        <w:tc>
          <w:tcPr>
            <w:tcW w:w="2044" w:type="dxa"/>
            <w:tcBorders>
              <w:top w:val="nil"/>
              <w:left w:val="nil"/>
              <w:bottom w:val="single" w:sz="8" w:space="0" w:color="auto"/>
              <w:right w:val="single" w:sz="8" w:space="0" w:color="auto"/>
            </w:tcBorders>
            <w:shd w:val="clear" w:color="auto" w:fill="auto"/>
            <w:noWrap/>
            <w:vAlign w:val="bottom"/>
            <w:hideMark/>
          </w:tcPr>
          <w:p w:rsidR="00AB043A" w:rsidRPr="005B15D9" w:rsidRDefault="001117CE" w:rsidP="001117CE">
            <w:pPr>
              <w:spacing w:after="0" w:line="240" w:lineRule="auto"/>
              <w:jc w:val="right"/>
              <w:rPr>
                <w:rFonts w:ascii="Arial" w:eastAsia="Times New Roman" w:hAnsi="Arial" w:cs="Arial"/>
              </w:rPr>
            </w:pPr>
            <w:r>
              <w:rPr>
                <w:rFonts w:ascii="Arial" w:eastAsia="Times New Roman" w:hAnsi="Arial" w:cs="Arial"/>
              </w:rPr>
              <w:t>103</w:t>
            </w:r>
            <w:r w:rsidR="00AB043A" w:rsidRPr="005B15D9">
              <w:rPr>
                <w:rFonts w:ascii="Arial" w:eastAsia="Times New Roman" w:hAnsi="Arial" w:cs="Arial"/>
              </w:rPr>
              <w:t>,</w:t>
            </w:r>
            <w:r>
              <w:rPr>
                <w:rFonts w:ascii="Arial" w:eastAsia="Times New Roman" w:hAnsi="Arial" w:cs="Arial"/>
              </w:rPr>
              <w:t>76</w:t>
            </w:r>
            <w:r w:rsidR="00AB043A" w:rsidRPr="005B15D9">
              <w:rPr>
                <w:rFonts w:ascii="Arial" w:eastAsia="Times New Roman" w:hAnsi="Arial" w:cs="Arial"/>
              </w:rPr>
              <w:t>%</w:t>
            </w:r>
          </w:p>
        </w:tc>
      </w:tr>
    </w:tbl>
    <w:p w:rsidR="00AB043A" w:rsidRPr="005B15D9" w:rsidRDefault="00AB043A">
      <w:pPr>
        <w:rPr>
          <w:rFonts w:ascii="Arial" w:hAnsi="Arial" w:cs="Arial"/>
        </w:rPr>
      </w:pPr>
    </w:p>
    <w:p w:rsidR="0041666D" w:rsidRPr="005B15D9" w:rsidRDefault="0041666D">
      <w:pPr>
        <w:rPr>
          <w:rFonts w:ascii="Arial" w:hAnsi="Arial" w:cs="Arial"/>
        </w:rPr>
      </w:pPr>
    </w:p>
    <w:p w:rsidR="00D06E63" w:rsidRPr="005B15D9" w:rsidRDefault="00D06E63">
      <w:pPr>
        <w:rPr>
          <w:rFonts w:ascii="Arial" w:hAnsi="Arial" w:cs="Arial"/>
        </w:rPr>
      </w:pPr>
    </w:p>
    <w:p w:rsidR="00AB043A" w:rsidRPr="005B15D9" w:rsidRDefault="00AB043A">
      <w:pPr>
        <w:rPr>
          <w:rFonts w:ascii="Arial" w:hAnsi="Arial" w:cs="Arial"/>
        </w:rPr>
      </w:pPr>
    </w:p>
    <w:p w:rsidR="005A37EF" w:rsidRPr="005B15D9" w:rsidRDefault="005A37EF" w:rsidP="00893914">
      <w:pPr>
        <w:spacing w:line="312" w:lineRule="auto"/>
        <w:ind w:firstLine="709"/>
        <w:jc w:val="both"/>
        <w:rPr>
          <w:rFonts w:ascii="Arial" w:hAnsi="Arial" w:cs="Arial"/>
        </w:rPr>
      </w:pPr>
    </w:p>
    <w:p w:rsidR="00AB043A" w:rsidRPr="005B15D9" w:rsidRDefault="005F1DC0" w:rsidP="00927946">
      <w:pPr>
        <w:spacing w:after="0" w:line="312" w:lineRule="auto"/>
        <w:ind w:firstLine="567"/>
        <w:jc w:val="both"/>
        <w:rPr>
          <w:rFonts w:ascii="Arial" w:hAnsi="Arial" w:cs="Arial"/>
        </w:rPr>
      </w:pPr>
      <w:r w:rsidRPr="005B15D9">
        <w:rPr>
          <w:rFonts w:ascii="Arial" w:hAnsi="Arial" w:cs="Arial"/>
        </w:rPr>
        <w:t>A</w:t>
      </w:r>
      <w:r w:rsidR="00B65308" w:rsidRPr="005B15D9">
        <w:rPr>
          <w:rFonts w:ascii="Arial" w:hAnsi="Arial" w:cs="Arial"/>
        </w:rPr>
        <w:t>Figura</w:t>
      </w:r>
      <w:r w:rsidR="00B4265C" w:rsidRPr="005B15D9">
        <w:rPr>
          <w:rFonts w:ascii="Arial" w:hAnsi="Arial" w:cs="Arial"/>
        </w:rPr>
        <w:t xml:space="preserve"> 0</w:t>
      </w:r>
      <w:r w:rsidR="001E327F" w:rsidRPr="005B15D9">
        <w:rPr>
          <w:rFonts w:ascii="Arial" w:hAnsi="Arial" w:cs="Arial"/>
        </w:rPr>
        <w:t>4</w:t>
      </w:r>
      <w:r w:rsidR="003A2851" w:rsidRPr="005B15D9">
        <w:rPr>
          <w:rFonts w:ascii="Arial" w:hAnsi="Arial" w:cs="Arial"/>
        </w:rPr>
        <w:t>apresenta</w:t>
      </w:r>
      <w:r w:rsidR="00B65308" w:rsidRPr="005B15D9">
        <w:rPr>
          <w:rFonts w:ascii="Arial" w:hAnsi="Arial" w:cs="Arial"/>
        </w:rPr>
        <w:t xml:space="preserve"> distribuição espacial do mapeamento dos níveis de </w:t>
      </w:r>
      <w:r w:rsidR="003A2851" w:rsidRPr="005B15D9">
        <w:rPr>
          <w:rFonts w:ascii="Arial" w:hAnsi="Arial" w:cs="Arial"/>
        </w:rPr>
        <w:t>risco de</w:t>
      </w:r>
      <w:r w:rsidR="000332C6" w:rsidRPr="005B15D9">
        <w:rPr>
          <w:rFonts w:ascii="Arial" w:hAnsi="Arial" w:cs="Arial"/>
        </w:rPr>
        <w:t xml:space="preserve"> escorregamentos </w:t>
      </w:r>
      <w:r w:rsidR="00B4265C" w:rsidRPr="005B15D9">
        <w:rPr>
          <w:rFonts w:ascii="Arial" w:hAnsi="Arial" w:cs="Arial"/>
        </w:rPr>
        <w:t>d</w:t>
      </w:r>
      <w:r w:rsidR="000332C6" w:rsidRPr="005B15D9">
        <w:rPr>
          <w:rFonts w:ascii="Arial" w:hAnsi="Arial" w:cs="Arial"/>
        </w:rPr>
        <w:t>o</w:t>
      </w:r>
      <w:r w:rsidR="00B65308" w:rsidRPr="005B15D9">
        <w:rPr>
          <w:rFonts w:ascii="Arial" w:hAnsi="Arial" w:cs="Arial"/>
        </w:rPr>
        <w:t>s</w:t>
      </w:r>
      <w:r w:rsidR="000332C6" w:rsidRPr="005B15D9">
        <w:rPr>
          <w:rFonts w:ascii="Arial" w:hAnsi="Arial" w:cs="Arial"/>
        </w:rPr>
        <w:t xml:space="preserve"> loteamento</w:t>
      </w:r>
      <w:r w:rsidR="00B65308" w:rsidRPr="005B15D9">
        <w:rPr>
          <w:rFonts w:ascii="Arial" w:hAnsi="Arial" w:cs="Arial"/>
        </w:rPr>
        <w:t>s</w:t>
      </w:r>
      <w:r w:rsidR="003A2851" w:rsidRPr="005B15D9">
        <w:rPr>
          <w:rFonts w:ascii="Arial" w:hAnsi="Arial" w:cs="Arial"/>
        </w:rPr>
        <w:t xml:space="preserve"> Águas</w:t>
      </w:r>
      <w:r w:rsidR="000332C6" w:rsidRPr="005B15D9">
        <w:rPr>
          <w:rFonts w:ascii="Arial" w:hAnsi="Arial" w:cs="Arial"/>
        </w:rPr>
        <w:t xml:space="preserve"> de Canind</w:t>
      </w:r>
      <w:r w:rsidR="00B65308" w:rsidRPr="005B15D9">
        <w:rPr>
          <w:rFonts w:ascii="Arial" w:hAnsi="Arial" w:cs="Arial"/>
        </w:rPr>
        <w:t>ú</w:t>
      </w:r>
      <w:r w:rsidR="000332C6" w:rsidRPr="005B15D9">
        <w:rPr>
          <w:rFonts w:ascii="Arial" w:hAnsi="Arial" w:cs="Arial"/>
        </w:rPr>
        <w:t xml:space="preserve"> I e II</w:t>
      </w:r>
      <w:r w:rsidR="00B65308" w:rsidRPr="005B15D9">
        <w:rPr>
          <w:rFonts w:ascii="Arial" w:hAnsi="Arial" w:cs="Arial"/>
        </w:rPr>
        <w:t xml:space="preserve"> para o ano de 2014. Nesta figura pode-se verificar a predominância das áreas de R3 e R4</w:t>
      </w:r>
      <w:r w:rsidR="001117CE">
        <w:rPr>
          <w:rFonts w:ascii="Arial" w:hAnsi="Arial" w:cs="Arial"/>
        </w:rPr>
        <w:t>.</w:t>
      </w:r>
    </w:p>
    <w:p w:rsidR="00B4265C" w:rsidRPr="005B15D9" w:rsidRDefault="00310661" w:rsidP="00310661">
      <w:pPr>
        <w:spacing w:after="0" w:line="26" w:lineRule="atLeast"/>
        <w:ind w:right="-1"/>
        <w:jc w:val="both"/>
        <w:rPr>
          <w:rFonts w:ascii="Arial" w:hAnsi="Arial" w:cs="Arial"/>
        </w:rPr>
      </w:pPr>
      <w:r>
        <w:rPr>
          <w:rFonts w:ascii="Arial" w:hAnsi="Arial" w:cs="Arial"/>
          <w:noProof/>
        </w:rPr>
        <w:lastRenderedPageBreak/>
        <w:drawing>
          <wp:inline distT="0" distB="0" distL="0" distR="0">
            <wp:extent cx="5400040" cy="3821430"/>
            <wp:effectExtent l="19050" t="0" r="0" b="0"/>
            <wp:docPr id="4" name="Imagem 3" descr="A6_Carindul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_Carindulell.jpg"/>
                    <pic:cNvPicPr/>
                  </pic:nvPicPr>
                  <pic:blipFill>
                    <a:blip r:embed="rId11" cstate="print"/>
                    <a:stretch>
                      <a:fillRect/>
                    </a:stretch>
                  </pic:blipFill>
                  <pic:spPr>
                    <a:xfrm>
                      <a:off x="0" y="0"/>
                      <a:ext cx="5400040" cy="3821430"/>
                    </a:xfrm>
                    <a:prstGeom prst="rect">
                      <a:avLst/>
                    </a:prstGeom>
                  </pic:spPr>
                </pic:pic>
              </a:graphicData>
            </a:graphic>
          </wp:inline>
        </w:drawing>
      </w:r>
    </w:p>
    <w:p w:rsidR="00B4265C" w:rsidRPr="005B15D9" w:rsidRDefault="00B4265C" w:rsidP="003230EB">
      <w:pPr>
        <w:spacing w:after="0" w:line="240" w:lineRule="auto"/>
        <w:ind w:left="567" w:right="45"/>
        <w:jc w:val="both"/>
        <w:rPr>
          <w:rFonts w:ascii="Arial" w:hAnsi="Arial" w:cs="Arial"/>
          <w:sz w:val="20"/>
          <w:szCs w:val="20"/>
        </w:rPr>
      </w:pPr>
      <w:r w:rsidRPr="005B15D9">
        <w:rPr>
          <w:rFonts w:ascii="Arial" w:hAnsi="Arial" w:cs="Arial"/>
          <w:sz w:val="20"/>
          <w:szCs w:val="20"/>
        </w:rPr>
        <w:t>Figura 0</w:t>
      </w:r>
      <w:r w:rsidR="00893914" w:rsidRPr="005B15D9">
        <w:rPr>
          <w:rFonts w:ascii="Arial" w:hAnsi="Arial" w:cs="Arial"/>
          <w:sz w:val="20"/>
          <w:szCs w:val="20"/>
        </w:rPr>
        <w:t>4</w:t>
      </w:r>
      <w:r w:rsidRPr="005B15D9">
        <w:rPr>
          <w:rFonts w:ascii="Arial" w:hAnsi="Arial" w:cs="Arial"/>
          <w:sz w:val="20"/>
          <w:szCs w:val="20"/>
        </w:rPr>
        <w:t xml:space="preserve"> - Mapeamento das Áreas de Risco de Escorregamento – Águas do Canindú I e II.</w:t>
      </w:r>
    </w:p>
    <w:p w:rsidR="00B4265C" w:rsidRPr="005B15D9" w:rsidRDefault="00B4265C" w:rsidP="003230EB">
      <w:pPr>
        <w:spacing w:after="0" w:line="240" w:lineRule="auto"/>
        <w:ind w:left="567"/>
        <w:jc w:val="both"/>
        <w:rPr>
          <w:rFonts w:ascii="Arial" w:hAnsi="Arial" w:cs="Arial"/>
          <w:sz w:val="20"/>
          <w:szCs w:val="20"/>
        </w:rPr>
      </w:pPr>
      <w:r w:rsidRPr="005B15D9">
        <w:rPr>
          <w:rFonts w:ascii="Arial" w:hAnsi="Arial" w:cs="Arial"/>
          <w:sz w:val="20"/>
          <w:szCs w:val="20"/>
        </w:rPr>
        <w:t xml:space="preserve">Fonte: </w:t>
      </w:r>
      <w:r w:rsidR="003A2851" w:rsidRPr="005B15D9">
        <w:rPr>
          <w:rFonts w:ascii="Arial" w:hAnsi="Arial" w:cs="Arial"/>
          <w:sz w:val="20"/>
          <w:szCs w:val="20"/>
        </w:rPr>
        <w:t>Valério</w:t>
      </w:r>
      <w:r w:rsidRPr="005B15D9">
        <w:rPr>
          <w:rFonts w:ascii="Arial" w:hAnsi="Arial" w:cs="Arial"/>
          <w:sz w:val="20"/>
          <w:szCs w:val="20"/>
        </w:rPr>
        <w:t xml:space="preserve"> Filho et al. (2014)</w:t>
      </w:r>
    </w:p>
    <w:p w:rsidR="005F1DC0" w:rsidRPr="005B15D9" w:rsidRDefault="005F1DC0" w:rsidP="00B4265C">
      <w:pPr>
        <w:spacing w:after="0" w:line="312" w:lineRule="auto"/>
        <w:jc w:val="both"/>
        <w:rPr>
          <w:rFonts w:ascii="Arial" w:hAnsi="Arial" w:cs="Arial"/>
          <w:b/>
        </w:rPr>
      </w:pPr>
    </w:p>
    <w:p w:rsidR="00AB043A" w:rsidRPr="005B15D9" w:rsidRDefault="001E327F" w:rsidP="00927946">
      <w:pPr>
        <w:spacing w:after="0" w:line="312" w:lineRule="auto"/>
        <w:ind w:firstLine="567"/>
        <w:jc w:val="both"/>
        <w:rPr>
          <w:rFonts w:ascii="Arial" w:hAnsi="Arial" w:cs="Arial"/>
        </w:rPr>
      </w:pPr>
      <w:r w:rsidRPr="005B15D9">
        <w:rPr>
          <w:rFonts w:ascii="Arial" w:hAnsi="Arial" w:cs="Arial"/>
        </w:rPr>
        <w:t>A Figura 05</w:t>
      </w:r>
      <w:r w:rsidR="00F67200" w:rsidRPr="005B15D9">
        <w:rPr>
          <w:rFonts w:ascii="Arial" w:hAnsi="Arial" w:cs="Arial"/>
        </w:rPr>
        <w:t xml:space="preserve"> representa distribuição espacial do mapeamento dos diferentes níveis de risco de escorregamento no loteamento Chácaras Havaí pa</w:t>
      </w:r>
      <w:r w:rsidR="003349ED" w:rsidRPr="005B15D9">
        <w:rPr>
          <w:rFonts w:ascii="Arial" w:hAnsi="Arial" w:cs="Arial"/>
        </w:rPr>
        <w:t>ra</w:t>
      </w:r>
      <w:r w:rsidR="00F67200" w:rsidRPr="005B15D9">
        <w:rPr>
          <w:rFonts w:ascii="Arial" w:hAnsi="Arial" w:cs="Arial"/>
        </w:rPr>
        <w:t xml:space="preserve"> o ano de 2014. Conforme comentado anteriormente, verifica-se </w:t>
      </w:r>
      <w:r w:rsidR="003349ED" w:rsidRPr="005B15D9">
        <w:rPr>
          <w:rFonts w:ascii="Arial" w:hAnsi="Arial" w:cs="Arial"/>
        </w:rPr>
        <w:t xml:space="preserve">também </w:t>
      </w:r>
      <w:r w:rsidR="00516C50" w:rsidRPr="005B15D9">
        <w:rPr>
          <w:rFonts w:ascii="Arial" w:hAnsi="Arial" w:cs="Arial"/>
        </w:rPr>
        <w:t xml:space="preserve">que no loteamento Chácaras </w:t>
      </w:r>
      <w:r w:rsidR="003A2851" w:rsidRPr="005B15D9">
        <w:rPr>
          <w:rFonts w:ascii="Arial" w:hAnsi="Arial" w:cs="Arial"/>
        </w:rPr>
        <w:t>Havaí predomina</w:t>
      </w:r>
      <w:r w:rsidR="00F67200" w:rsidRPr="005B15D9">
        <w:rPr>
          <w:rFonts w:ascii="Arial" w:hAnsi="Arial" w:cs="Arial"/>
        </w:rPr>
        <w:t xml:space="preserve"> as classes de risco de escorregamento R3 e R4</w:t>
      </w:r>
      <w:r w:rsidR="0051487F" w:rsidRPr="005B15D9">
        <w:rPr>
          <w:rFonts w:ascii="Arial" w:hAnsi="Arial" w:cs="Arial"/>
        </w:rPr>
        <w:t xml:space="preserve"> e as Figuras 0</w:t>
      </w:r>
      <w:r w:rsidR="001117CE">
        <w:rPr>
          <w:rFonts w:ascii="Arial" w:hAnsi="Arial" w:cs="Arial"/>
        </w:rPr>
        <w:t>6</w:t>
      </w:r>
      <w:r w:rsidR="00516C50" w:rsidRPr="005B15D9">
        <w:rPr>
          <w:rFonts w:ascii="Arial" w:hAnsi="Arial" w:cs="Arial"/>
        </w:rPr>
        <w:t xml:space="preserve"> e 0</w:t>
      </w:r>
      <w:r w:rsidR="001117CE">
        <w:rPr>
          <w:rFonts w:ascii="Arial" w:hAnsi="Arial" w:cs="Arial"/>
        </w:rPr>
        <w:t>7</w:t>
      </w:r>
      <w:r w:rsidR="00BF7448" w:rsidRPr="005B15D9">
        <w:rPr>
          <w:rFonts w:ascii="Arial" w:hAnsi="Arial" w:cs="Arial"/>
        </w:rPr>
        <w:t xml:space="preserve"> ilustram os aspectos gerais das formas de autoconstrução </w:t>
      </w:r>
      <w:r w:rsidR="00961587" w:rsidRPr="005B15D9">
        <w:rPr>
          <w:rFonts w:ascii="Arial" w:hAnsi="Arial" w:cs="Arial"/>
        </w:rPr>
        <w:t xml:space="preserve">das </w:t>
      </w:r>
      <w:r w:rsidR="00BF7448" w:rsidRPr="005B15D9">
        <w:rPr>
          <w:rFonts w:ascii="Arial" w:hAnsi="Arial" w:cs="Arial"/>
        </w:rPr>
        <w:t>edificações</w:t>
      </w:r>
      <w:r w:rsidR="00366D0D">
        <w:rPr>
          <w:rFonts w:ascii="Arial" w:hAnsi="Arial" w:cs="Arial"/>
        </w:rPr>
        <w:t xml:space="preserve"> </w:t>
      </w:r>
      <w:r w:rsidR="00961587" w:rsidRPr="005B15D9">
        <w:rPr>
          <w:rFonts w:ascii="Arial" w:hAnsi="Arial" w:cs="Arial"/>
        </w:rPr>
        <w:t>que</w:t>
      </w:r>
      <w:r w:rsidR="00366D0D">
        <w:rPr>
          <w:rFonts w:ascii="Arial" w:hAnsi="Arial" w:cs="Arial"/>
        </w:rPr>
        <w:t xml:space="preserve"> </w:t>
      </w:r>
      <w:r w:rsidR="00BF7448" w:rsidRPr="005B15D9">
        <w:rPr>
          <w:rFonts w:ascii="Arial" w:hAnsi="Arial" w:cs="Arial"/>
        </w:rPr>
        <w:t>são</w:t>
      </w:r>
      <w:r w:rsidR="00366D0D">
        <w:rPr>
          <w:rFonts w:ascii="Arial" w:hAnsi="Arial" w:cs="Arial"/>
        </w:rPr>
        <w:t xml:space="preserve"> </w:t>
      </w:r>
      <w:r w:rsidR="00BF7448" w:rsidRPr="005B15D9">
        <w:rPr>
          <w:rFonts w:ascii="Arial" w:hAnsi="Arial" w:cs="Arial"/>
        </w:rPr>
        <w:t>implantadas nestas áreas.</w:t>
      </w:r>
    </w:p>
    <w:p w:rsidR="00927946" w:rsidRPr="005B15D9" w:rsidRDefault="00310661" w:rsidP="00927946">
      <w:pPr>
        <w:spacing w:after="0" w:line="312" w:lineRule="auto"/>
        <w:jc w:val="both"/>
        <w:rPr>
          <w:rFonts w:ascii="Arial" w:hAnsi="Arial" w:cs="Arial"/>
        </w:rPr>
      </w:pPr>
      <w:r>
        <w:rPr>
          <w:rFonts w:ascii="Arial" w:hAnsi="Arial" w:cs="Arial"/>
          <w:noProof/>
        </w:rPr>
        <w:lastRenderedPageBreak/>
        <w:drawing>
          <wp:inline distT="0" distB="0" distL="0" distR="0">
            <wp:extent cx="5400040" cy="3821430"/>
            <wp:effectExtent l="19050" t="0" r="0" b="0"/>
            <wp:docPr id="5" name="Imagem 4" descr="A4_Ha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Havai.jpg"/>
                    <pic:cNvPicPr/>
                  </pic:nvPicPr>
                  <pic:blipFill>
                    <a:blip r:embed="rId12" cstate="print"/>
                    <a:stretch>
                      <a:fillRect/>
                    </a:stretch>
                  </pic:blipFill>
                  <pic:spPr>
                    <a:xfrm>
                      <a:off x="0" y="0"/>
                      <a:ext cx="5400040" cy="3821430"/>
                    </a:xfrm>
                    <a:prstGeom prst="rect">
                      <a:avLst/>
                    </a:prstGeom>
                  </pic:spPr>
                </pic:pic>
              </a:graphicData>
            </a:graphic>
          </wp:inline>
        </w:drawing>
      </w:r>
    </w:p>
    <w:p w:rsidR="0051487F" w:rsidRPr="005B15D9" w:rsidRDefault="0051487F" w:rsidP="003230EB">
      <w:pPr>
        <w:spacing w:after="0" w:line="240" w:lineRule="auto"/>
        <w:ind w:right="45" w:firstLine="567"/>
        <w:jc w:val="both"/>
        <w:rPr>
          <w:rFonts w:ascii="Arial" w:hAnsi="Arial" w:cs="Arial"/>
          <w:sz w:val="20"/>
          <w:szCs w:val="20"/>
        </w:rPr>
      </w:pPr>
      <w:r w:rsidRPr="005B15D9">
        <w:rPr>
          <w:rFonts w:ascii="Arial" w:hAnsi="Arial" w:cs="Arial"/>
          <w:sz w:val="20"/>
          <w:szCs w:val="20"/>
        </w:rPr>
        <w:t>Figura 0</w:t>
      </w:r>
      <w:r w:rsidR="00893914" w:rsidRPr="005B15D9">
        <w:rPr>
          <w:rFonts w:ascii="Arial" w:hAnsi="Arial" w:cs="Arial"/>
          <w:sz w:val="20"/>
          <w:szCs w:val="20"/>
        </w:rPr>
        <w:t>5</w:t>
      </w:r>
      <w:r w:rsidRPr="005B15D9">
        <w:rPr>
          <w:rFonts w:ascii="Arial" w:hAnsi="Arial" w:cs="Arial"/>
          <w:sz w:val="20"/>
          <w:szCs w:val="20"/>
        </w:rPr>
        <w:t xml:space="preserve"> - Mapeamento das Áreas de Risco de Escorregamento – Chácaras </w:t>
      </w:r>
      <w:r w:rsidR="003A2851" w:rsidRPr="005B15D9">
        <w:rPr>
          <w:rFonts w:ascii="Arial" w:hAnsi="Arial" w:cs="Arial"/>
          <w:sz w:val="20"/>
          <w:szCs w:val="20"/>
        </w:rPr>
        <w:t>Havaí</w:t>
      </w:r>
      <w:r w:rsidRPr="005B15D9">
        <w:rPr>
          <w:rFonts w:ascii="Arial" w:hAnsi="Arial" w:cs="Arial"/>
          <w:sz w:val="20"/>
          <w:szCs w:val="20"/>
        </w:rPr>
        <w:t>.</w:t>
      </w:r>
    </w:p>
    <w:p w:rsidR="0051487F" w:rsidRPr="005B15D9" w:rsidRDefault="0051487F" w:rsidP="003230EB">
      <w:pPr>
        <w:spacing w:after="0" w:line="240" w:lineRule="auto"/>
        <w:ind w:right="45" w:firstLine="567"/>
        <w:jc w:val="both"/>
        <w:rPr>
          <w:rFonts w:ascii="Arial" w:hAnsi="Arial" w:cs="Arial"/>
          <w:sz w:val="20"/>
          <w:szCs w:val="20"/>
        </w:rPr>
      </w:pPr>
      <w:r w:rsidRPr="005B15D9">
        <w:rPr>
          <w:rFonts w:ascii="Arial" w:hAnsi="Arial" w:cs="Arial"/>
          <w:sz w:val="20"/>
          <w:szCs w:val="20"/>
        </w:rPr>
        <w:t xml:space="preserve">Fonte: </w:t>
      </w:r>
      <w:r w:rsidR="003A2851" w:rsidRPr="005B15D9">
        <w:rPr>
          <w:rFonts w:ascii="Arial" w:hAnsi="Arial" w:cs="Arial"/>
          <w:sz w:val="20"/>
          <w:szCs w:val="20"/>
        </w:rPr>
        <w:t>Valério</w:t>
      </w:r>
      <w:r w:rsidRPr="005B15D9">
        <w:rPr>
          <w:rFonts w:ascii="Arial" w:hAnsi="Arial" w:cs="Arial"/>
          <w:sz w:val="20"/>
          <w:szCs w:val="20"/>
        </w:rPr>
        <w:t xml:space="preserve"> Filho et al. (2014)</w:t>
      </w:r>
    </w:p>
    <w:p w:rsidR="00576B91" w:rsidRPr="005B15D9" w:rsidRDefault="00576B91" w:rsidP="003230EB">
      <w:pPr>
        <w:spacing w:after="0" w:line="240" w:lineRule="auto"/>
        <w:ind w:right="45" w:firstLine="567"/>
        <w:jc w:val="both"/>
        <w:rPr>
          <w:rFonts w:ascii="Arial" w:hAnsi="Arial" w:cs="Arial"/>
          <w:sz w:val="20"/>
          <w:szCs w:val="20"/>
        </w:rPr>
      </w:pPr>
    </w:p>
    <w:p w:rsidR="00576B91" w:rsidRPr="005B15D9" w:rsidRDefault="00576B91" w:rsidP="00833FBC">
      <w:pPr>
        <w:spacing w:after="0" w:line="26" w:lineRule="atLeast"/>
        <w:ind w:right="45"/>
        <w:jc w:val="both"/>
        <w:rPr>
          <w:rFonts w:ascii="Arial" w:hAnsi="Arial" w:cs="Arial"/>
          <w:sz w:val="20"/>
          <w:szCs w:val="20"/>
        </w:rPr>
      </w:pPr>
    </w:p>
    <w:p w:rsidR="00576B91" w:rsidRPr="005B15D9" w:rsidRDefault="00576B91" w:rsidP="00833FBC">
      <w:pPr>
        <w:spacing w:after="0" w:line="26" w:lineRule="atLeast"/>
        <w:ind w:right="45"/>
        <w:jc w:val="both"/>
        <w:rPr>
          <w:rFonts w:ascii="Arial" w:hAnsi="Arial" w:cs="Arial"/>
          <w:sz w:val="20"/>
          <w:szCs w:val="20"/>
        </w:rPr>
      </w:pPr>
    </w:p>
    <w:p w:rsidR="00854197" w:rsidRPr="005B15D9" w:rsidRDefault="00576B91" w:rsidP="00854197">
      <w:pPr>
        <w:spacing w:after="0" w:line="312" w:lineRule="auto"/>
        <w:rPr>
          <w:rFonts w:ascii="Arial" w:hAnsi="Arial" w:cs="Arial"/>
          <w:b/>
        </w:rPr>
      </w:pPr>
      <w:r w:rsidRPr="005B15D9">
        <w:rPr>
          <w:rFonts w:ascii="Arial" w:hAnsi="Arial" w:cs="Arial"/>
          <w:b/>
          <w:noProof/>
        </w:rPr>
        <w:drawing>
          <wp:anchor distT="0" distB="0" distL="114300" distR="114300" simplePos="0" relativeHeight="251678720" behindDoc="1" locked="0" layoutInCell="1" allowOverlap="1">
            <wp:simplePos x="0" y="0"/>
            <wp:positionH relativeFrom="column">
              <wp:posOffset>405765</wp:posOffset>
            </wp:positionH>
            <wp:positionV relativeFrom="paragraph">
              <wp:posOffset>2540</wp:posOffset>
            </wp:positionV>
            <wp:extent cx="4625975" cy="2696210"/>
            <wp:effectExtent l="19050" t="19050" r="22225" b="27940"/>
            <wp:wrapTight wrapText="bothSides">
              <wp:wrapPolygon edited="0">
                <wp:start x="-89" y="-153"/>
                <wp:lineTo x="-89" y="21824"/>
                <wp:lineTo x="21704" y="21824"/>
                <wp:lineTo x="21704" y="-153"/>
                <wp:lineTo x="-89" y="-153"/>
              </wp:wrapPolygon>
            </wp:wrapTight>
            <wp:docPr id="7" name="Imagem 9" descr="IMG_20160125_14431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5_144313505.jpg"/>
                    <pic:cNvPicPr/>
                  </pic:nvPicPr>
                  <pic:blipFill>
                    <a:blip r:embed="rId13" cstate="print"/>
                    <a:stretch>
                      <a:fillRect/>
                    </a:stretch>
                  </pic:blipFill>
                  <pic:spPr>
                    <a:xfrm>
                      <a:off x="0" y="0"/>
                      <a:ext cx="4625975" cy="2696210"/>
                    </a:xfrm>
                    <a:prstGeom prst="rect">
                      <a:avLst/>
                    </a:prstGeom>
                    <a:ln>
                      <a:solidFill>
                        <a:schemeClr val="tx1"/>
                      </a:solidFill>
                    </a:ln>
                  </pic:spPr>
                </pic:pic>
              </a:graphicData>
            </a:graphic>
          </wp:anchor>
        </w:drawing>
      </w: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576B91" w:rsidRPr="005B15D9" w:rsidRDefault="00576B91" w:rsidP="00854197">
      <w:pPr>
        <w:spacing w:after="0" w:line="26" w:lineRule="atLeast"/>
        <w:ind w:right="45"/>
        <w:jc w:val="both"/>
        <w:rPr>
          <w:rFonts w:ascii="Arial" w:hAnsi="Arial" w:cs="Arial"/>
          <w:sz w:val="20"/>
          <w:szCs w:val="20"/>
        </w:rPr>
      </w:pPr>
    </w:p>
    <w:p w:rsidR="00854197" w:rsidRPr="005B15D9" w:rsidRDefault="00854197" w:rsidP="003230EB">
      <w:pPr>
        <w:spacing w:after="0" w:line="26" w:lineRule="atLeast"/>
        <w:ind w:right="45" w:firstLine="567"/>
        <w:jc w:val="both"/>
        <w:rPr>
          <w:rFonts w:ascii="Arial" w:hAnsi="Arial" w:cs="Arial"/>
        </w:rPr>
      </w:pPr>
      <w:r w:rsidRPr="005B15D9">
        <w:rPr>
          <w:rFonts w:ascii="Arial" w:hAnsi="Arial" w:cs="Arial"/>
          <w:sz w:val="20"/>
          <w:szCs w:val="20"/>
        </w:rPr>
        <w:t>Figura</w:t>
      </w:r>
      <w:r w:rsidR="00BF7448" w:rsidRPr="005B15D9">
        <w:rPr>
          <w:rFonts w:ascii="Arial" w:hAnsi="Arial" w:cs="Arial"/>
          <w:sz w:val="20"/>
          <w:szCs w:val="20"/>
        </w:rPr>
        <w:t xml:space="preserve"> 0</w:t>
      </w:r>
      <w:r w:rsidR="00893914" w:rsidRPr="005B15D9">
        <w:rPr>
          <w:rFonts w:ascii="Arial" w:hAnsi="Arial" w:cs="Arial"/>
          <w:sz w:val="20"/>
          <w:szCs w:val="20"/>
        </w:rPr>
        <w:t>6</w:t>
      </w:r>
      <w:r w:rsidRPr="005B15D9">
        <w:rPr>
          <w:rFonts w:ascii="Arial" w:hAnsi="Arial" w:cs="Arial"/>
          <w:sz w:val="20"/>
          <w:szCs w:val="20"/>
        </w:rPr>
        <w:t>: Moradia situada em áreas de risco de escorregamento – Águas do Canindú I.</w:t>
      </w:r>
    </w:p>
    <w:p w:rsidR="00854197" w:rsidRPr="005B15D9" w:rsidRDefault="00854197" w:rsidP="003230EB">
      <w:pPr>
        <w:spacing w:after="0" w:line="26" w:lineRule="atLeast"/>
        <w:ind w:firstLine="567"/>
        <w:jc w:val="both"/>
        <w:rPr>
          <w:rFonts w:ascii="Arial" w:hAnsi="Arial" w:cs="Arial"/>
          <w:sz w:val="20"/>
          <w:szCs w:val="20"/>
        </w:rPr>
      </w:pPr>
      <w:r w:rsidRPr="005B15D9">
        <w:rPr>
          <w:rFonts w:ascii="Arial" w:hAnsi="Arial" w:cs="Arial"/>
          <w:sz w:val="20"/>
          <w:szCs w:val="20"/>
        </w:rPr>
        <w:t xml:space="preserve">Fonte: </w:t>
      </w:r>
      <w:r w:rsidR="00366D0D">
        <w:rPr>
          <w:rFonts w:ascii="Arial" w:hAnsi="Arial" w:cs="Arial"/>
          <w:sz w:val="20"/>
          <w:szCs w:val="20"/>
        </w:rPr>
        <w:t>Autor (</w:t>
      </w:r>
      <w:r w:rsidRPr="005B15D9">
        <w:rPr>
          <w:rFonts w:ascii="Arial" w:hAnsi="Arial" w:cs="Arial"/>
          <w:sz w:val="20"/>
          <w:szCs w:val="20"/>
        </w:rPr>
        <w:t>2016</w:t>
      </w:r>
      <w:r w:rsidR="00366D0D">
        <w:rPr>
          <w:rFonts w:ascii="Arial" w:hAnsi="Arial" w:cs="Arial"/>
          <w:sz w:val="20"/>
          <w:szCs w:val="20"/>
        </w:rPr>
        <w:t>)</w:t>
      </w:r>
      <w:r w:rsidRPr="005B15D9">
        <w:rPr>
          <w:rFonts w:ascii="Arial" w:hAnsi="Arial" w:cs="Arial"/>
          <w:sz w:val="20"/>
          <w:szCs w:val="20"/>
        </w:rPr>
        <w:t>.</w:t>
      </w:r>
    </w:p>
    <w:p w:rsidR="00854197" w:rsidRPr="005B15D9" w:rsidRDefault="00854197"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bookmarkStart w:id="0" w:name="_GoBack"/>
      <w:bookmarkEnd w:id="0"/>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r w:rsidRPr="005B15D9">
        <w:rPr>
          <w:rFonts w:ascii="Arial" w:hAnsi="Arial" w:cs="Arial"/>
          <w:noProof/>
        </w:rPr>
        <w:drawing>
          <wp:anchor distT="0" distB="0" distL="114300" distR="114300" simplePos="0" relativeHeight="251684864" behindDoc="1" locked="0" layoutInCell="1" allowOverlap="1">
            <wp:simplePos x="0" y="0"/>
            <wp:positionH relativeFrom="column">
              <wp:posOffset>329565</wp:posOffset>
            </wp:positionH>
            <wp:positionV relativeFrom="paragraph">
              <wp:posOffset>81280</wp:posOffset>
            </wp:positionV>
            <wp:extent cx="4639945" cy="2696210"/>
            <wp:effectExtent l="19050" t="19050" r="27305" b="27940"/>
            <wp:wrapTight wrapText="bothSides">
              <wp:wrapPolygon edited="0">
                <wp:start x="-89" y="-153"/>
                <wp:lineTo x="-89" y="21824"/>
                <wp:lineTo x="21727" y="21824"/>
                <wp:lineTo x="21727" y="-153"/>
                <wp:lineTo x="-89" y="-153"/>
              </wp:wrapPolygon>
            </wp:wrapTight>
            <wp:docPr id="11" name="Imagem 10" descr="IMG_20160125_1444230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5_144423057_HDR.jpg"/>
                    <pic:cNvPicPr/>
                  </pic:nvPicPr>
                  <pic:blipFill>
                    <a:blip r:embed="rId14" cstate="print"/>
                    <a:stretch>
                      <a:fillRect/>
                    </a:stretch>
                  </pic:blipFill>
                  <pic:spPr>
                    <a:xfrm>
                      <a:off x="0" y="0"/>
                      <a:ext cx="4639945" cy="2696210"/>
                    </a:xfrm>
                    <a:prstGeom prst="rect">
                      <a:avLst/>
                    </a:prstGeom>
                    <a:ln>
                      <a:solidFill>
                        <a:schemeClr val="tx1"/>
                      </a:solidFill>
                    </a:ln>
                  </pic:spPr>
                </pic:pic>
              </a:graphicData>
            </a:graphic>
          </wp:anchor>
        </w:drawing>
      </w: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576B91" w:rsidRPr="005B15D9" w:rsidRDefault="00576B91" w:rsidP="00854197">
      <w:pPr>
        <w:spacing w:after="0" w:line="26" w:lineRule="atLeast"/>
        <w:ind w:right="45"/>
        <w:jc w:val="both"/>
        <w:rPr>
          <w:rFonts w:ascii="Arial" w:hAnsi="Arial" w:cs="Arial"/>
        </w:rPr>
      </w:pPr>
    </w:p>
    <w:p w:rsidR="00854197" w:rsidRPr="005B15D9" w:rsidRDefault="00854197" w:rsidP="00854197">
      <w:pPr>
        <w:spacing w:after="0" w:line="26" w:lineRule="atLeast"/>
        <w:ind w:right="45"/>
        <w:jc w:val="both"/>
        <w:rPr>
          <w:rFonts w:ascii="Arial" w:hAnsi="Arial" w:cs="Arial"/>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854197" w:rsidRPr="005B15D9" w:rsidRDefault="00854197" w:rsidP="00854197">
      <w:pPr>
        <w:spacing w:after="0" w:line="312" w:lineRule="auto"/>
        <w:rPr>
          <w:rFonts w:ascii="Arial" w:hAnsi="Arial" w:cs="Arial"/>
          <w:b/>
        </w:rPr>
      </w:pPr>
    </w:p>
    <w:p w:rsidR="00576B91" w:rsidRPr="005B15D9" w:rsidRDefault="00576B91" w:rsidP="00854197">
      <w:pPr>
        <w:spacing w:after="0" w:line="240" w:lineRule="auto"/>
        <w:jc w:val="both"/>
        <w:rPr>
          <w:rFonts w:ascii="Arial" w:hAnsi="Arial" w:cs="Arial"/>
          <w:sz w:val="20"/>
          <w:szCs w:val="20"/>
        </w:rPr>
      </w:pPr>
    </w:p>
    <w:p w:rsidR="00854197" w:rsidRPr="005B15D9" w:rsidRDefault="00BF7448" w:rsidP="003230EB">
      <w:pPr>
        <w:spacing w:after="0" w:line="240" w:lineRule="auto"/>
        <w:ind w:left="567"/>
        <w:jc w:val="both"/>
        <w:rPr>
          <w:rFonts w:ascii="Arial" w:hAnsi="Arial" w:cs="Arial"/>
          <w:sz w:val="20"/>
          <w:szCs w:val="20"/>
        </w:rPr>
      </w:pPr>
      <w:r w:rsidRPr="005B15D9">
        <w:rPr>
          <w:rFonts w:ascii="Arial" w:hAnsi="Arial" w:cs="Arial"/>
          <w:sz w:val="20"/>
          <w:szCs w:val="20"/>
        </w:rPr>
        <w:t>Figura 0</w:t>
      </w:r>
      <w:r w:rsidR="00893914" w:rsidRPr="005B15D9">
        <w:rPr>
          <w:rFonts w:ascii="Arial" w:hAnsi="Arial" w:cs="Arial"/>
          <w:sz w:val="20"/>
          <w:szCs w:val="20"/>
        </w:rPr>
        <w:t>7</w:t>
      </w:r>
      <w:r w:rsidR="00854197" w:rsidRPr="005B15D9">
        <w:rPr>
          <w:rFonts w:ascii="Arial" w:hAnsi="Arial" w:cs="Arial"/>
          <w:sz w:val="20"/>
          <w:szCs w:val="20"/>
        </w:rPr>
        <w:t xml:space="preserve">: </w:t>
      </w:r>
      <w:r w:rsidR="00A230B3" w:rsidRPr="005B15D9">
        <w:rPr>
          <w:rFonts w:ascii="Arial" w:hAnsi="Arial" w:cs="Arial"/>
          <w:sz w:val="20"/>
          <w:szCs w:val="20"/>
        </w:rPr>
        <w:t>Aspectos de moradias implantadas em áreas de risco a escorregamento</w:t>
      </w:r>
      <w:r w:rsidR="00854197" w:rsidRPr="005B15D9">
        <w:rPr>
          <w:rFonts w:ascii="Arial" w:hAnsi="Arial" w:cs="Arial"/>
          <w:sz w:val="20"/>
          <w:szCs w:val="20"/>
        </w:rPr>
        <w:t xml:space="preserve"> – </w:t>
      </w:r>
      <w:r w:rsidR="00A230B3" w:rsidRPr="005B15D9">
        <w:rPr>
          <w:rFonts w:ascii="Arial" w:hAnsi="Arial" w:cs="Arial"/>
          <w:sz w:val="20"/>
          <w:szCs w:val="20"/>
        </w:rPr>
        <w:t>Chácaras Havaí</w:t>
      </w:r>
      <w:r w:rsidR="00854197" w:rsidRPr="005B15D9">
        <w:rPr>
          <w:rFonts w:ascii="Arial" w:hAnsi="Arial" w:cs="Arial"/>
          <w:sz w:val="20"/>
          <w:szCs w:val="20"/>
        </w:rPr>
        <w:t>.</w:t>
      </w:r>
    </w:p>
    <w:p w:rsidR="00854197" w:rsidRPr="005B15D9" w:rsidRDefault="00854197" w:rsidP="003230EB">
      <w:pPr>
        <w:spacing w:after="0" w:line="240" w:lineRule="auto"/>
        <w:ind w:left="567"/>
        <w:jc w:val="both"/>
        <w:rPr>
          <w:rFonts w:ascii="Arial" w:hAnsi="Arial" w:cs="Arial"/>
          <w:sz w:val="20"/>
          <w:szCs w:val="20"/>
        </w:rPr>
      </w:pPr>
      <w:r w:rsidRPr="005B15D9">
        <w:rPr>
          <w:rFonts w:ascii="Arial" w:hAnsi="Arial" w:cs="Arial"/>
          <w:sz w:val="20"/>
          <w:szCs w:val="20"/>
        </w:rPr>
        <w:t>Fonte:</w:t>
      </w:r>
      <w:r w:rsidR="00366D0D">
        <w:rPr>
          <w:rFonts w:ascii="Arial" w:hAnsi="Arial" w:cs="Arial"/>
          <w:sz w:val="20"/>
          <w:szCs w:val="20"/>
        </w:rPr>
        <w:t>Autor (</w:t>
      </w:r>
      <w:r w:rsidRPr="005B15D9">
        <w:rPr>
          <w:rFonts w:ascii="Arial" w:hAnsi="Arial" w:cs="Arial"/>
          <w:sz w:val="20"/>
          <w:szCs w:val="20"/>
        </w:rPr>
        <w:t>2016</w:t>
      </w:r>
      <w:r w:rsidR="00366D0D">
        <w:rPr>
          <w:rFonts w:ascii="Arial" w:hAnsi="Arial" w:cs="Arial"/>
          <w:sz w:val="20"/>
          <w:szCs w:val="20"/>
        </w:rPr>
        <w:t>)</w:t>
      </w:r>
      <w:r w:rsidRPr="005B15D9">
        <w:rPr>
          <w:rFonts w:ascii="Arial" w:hAnsi="Arial" w:cs="Arial"/>
          <w:sz w:val="20"/>
          <w:szCs w:val="20"/>
        </w:rPr>
        <w:t>.</w:t>
      </w:r>
    </w:p>
    <w:p w:rsidR="000C7892" w:rsidRPr="005B15D9" w:rsidRDefault="000C7892" w:rsidP="00B4265C">
      <w:pPr>
        <w:spacing w:after="0" w:line="312" w:lineRule="auto"/>
        <w:rPr>
          <w:rFonts w:ascii="Arial" w:hAnsi="Arial" w:cs="Arial"/>
          <w:b/>
        </w:rPr>
      </w:pPr>
    </w:p>
    <w:p w:rsidR="000C7892" w:rsidRPr="005B15D9" w:rsidRDefault="000C7892" w:rsidP="003230EB">
      <w:pPr>
        <w:spacing w:after="0" w:line="312" w:lineRule="auto"/>
        <w:ind w:firstLine="567"/>
        <w:jc w:val="both"/>
        <w:rPr>
          <w:rFonts w:ascii="Arial" w:hAnsi="Arial" w:cs="Arial"/>
        </w:rPr>
      </w:pPr>
      <w:r w:rsidRPr="005B15D9">
        <w:rPr>
          <w:rFonts w:ascii="Arial" w:hAnsi="Arial" w:cs="Arial"/>
        </w:rPr>
        <w:t xml:space="preserve">Com base nas exposições anteriores, pode-se verificar que os loteamentos </w:t>
      </w:r>
      <w:r w:rsidR="003A2851" w:rsidRPr="005B15D9">
        <w:rPr>
          <w:rFonts w:ascii="Arial" w:hAnsi="Arial" w:cs="Arial"/>
        </w:rPr>
        <w:t>Águas</w:t>
      </w:r>
      <w:r w:rsidRPr="005B15D9">
        <w:rPr>
          <w:rFonts w:ascii="Arial" w:hAnsi="Arial" w:cs="Arial"/>
        </w:rPr>
        <w:t xml:space="preserve"> do Canindú I e II</w:t>
      </w:r>
      <w:r w:rsidR="00842444" w:rsidRPr="005B15D9">
        <w:rPr>
          <w:rFonts w:ascii="Arial" w:hAnsi="Arial" w:cs="Arial"/>
        </w:rPr>
        <w:t xml:space="preserve">e Havaí </w:t>
      </w:r>
      <w:r w:rsidRPr="005B15D9">
        <w:rPr>
          <w:rFonts w:ascii="Arial" w:hAnsi="Arial" w:cs="Arial"/>
        </w:rPr>
        <w:t>estão inseridos em áreas com restrições severas para a ocupação urbana</w:t>
      </w:r>
      <w:r w:rsidR="003C27B4" w:rsidRPr="005B15D9">
        <w:rPr>
          <w:rFonts w:ascii="Arial" w:hAnsi="Arial" w:cs="Arial"/>
        </w:rPr>
        <w:t xml:space="preserve">, </w:t>
      </w:r>
      <w:r w:rsidRPr="005B15D9">
        <w:rPr>
          <w:rFonts w:ascii="Arial" w:hAnsi="Arial" w:cs="Arial"/>
        </w:rPr>
        <w:t xml:space="preserve">conforme </w:t>
      </w:r>
      <w:r w:rsidR="003C27B4" w:rsidRPr="005B15D9">
        <w:rPr>
          <w:rFonts w:ascii="Arial" w:hAnsi="Arial" w:cs="Arial"/>
        </w:rPr>
        <w:t xml:space="preserve">é </w:t>
      </w:r>
      <w:r w:rsidR="001E327F" w:rsidRPr="005B15D9">
        <w:rPr>
          <w:rFonts w:ascii="Arial" w:hAnsi="Arial" w:cs="Arial"/>
        </w:rPr>
        <w:t>demonstrado pelas Figuras 04</w:t>
      </w:r>
      <w:r w:rsidRPr="005B15D9">
        <w:rPr>
          <w:rFonts w:ascii="Arial" w:hAnsi="Arial" w:cs="Arial"/>
        </w:rPr>
        <w:t xml:space="preserve"> e </w:t>
      </w:r>
      <w:r w:rsidR="001E327F" w:rsidRPr="005B15D9">
        <w:rPr>
          <w:rFonts w:ascii="Arial" w:hAnsi="Arial" w:cs="Arial"/>
        </w:rPr>
        <w:t>05</w:t>
      </w:r>
      <w:r w:rsidR="00EB4638" w:rsidRPr="005B15D9">
        <w:rPr>
          <w:rFonts w:ascii="Arial" w:hAnsi="Arial" w:cs="Arial"/>
        </w:rPr>
        <w:t>,</w:t>
      </w:r>
      <w:r w:rsidR="003C27B4" w:rsidRPr="005B15D9">
        <w:rPr>
          <w:rFonts w:ascii="Arial" w:hAnsi="Arial" w:cs="Arial"/>
        </w:rPr>
        <w:t xml:space="preserve"> sendo possível constatar que </w:t>
      </w:r>
      <w:r w:rsidRPr="005B15D9">
        <w:rPr>
          <w:rFonts w:ascii="Arial" w:hAnsi="Arial" w:cs="Arial"/>
        </w:rPr>
        <w:t xml:space="preserve">a grande maioria das edificações estão localizadas nas </w:t>
      </w:r>
      <w:r w:rsidR="003C27B4" w:rsidRPr="005B15D9">
        <w:rPr>
          <w:rFonts w:ascii="Arial" w:hAnsi="Arial" w:cs="Arial"/>
        </w:rPr>
        <w:t xml:space="preserve">classes </w:t>
      </w:r>
      <w:r w:rsidRPr="005B15D9">
        <w:rPr>
          <w:rFonts w:ascii="Arial" w:hAnsi="Arial" w:cs="Arial"/>
        </w:rPr>
        <w:t>de risco a escorregamento</w:t>
      </w:r>
      <w:r w:rsidR="003C27B4" w:rsidRPr="005B15D9">
        <w:rPr>
          <w:rFonts w:ascii="Arial" w:hAnsi="Arial" w:cs="Arial"/>
        </w:rPr>
        <w:t>R3 e R4, consideradas derisco alto a muito alto. Por outro lado verifica-se pelas Figuras 0</w:t>
      </w:r>
      <w:r w:rsidR="001117CE">
        <w:rPr>
          <w:rFonts w:ascii="Arial" w:hAnsi="Arial" w:cs="Arial"/>
        </w:rPr>
        <w:t>6</w:t>
      </w:r>
      <w:r w:rsidR="003C27B4" w:rsidRPr="005B15D9">
        <w:rPr>
          <w:rFonts w:ascii="Arial" w:hAnsi="Arial" w:cs="Arial"/>
        </w:rPr>
        <w:t xml:space="preserve"> e 0</w:t>
      </w:r>
      <w:r w:rsidR="001E327F" w:rsidRPr="005B15D9">
        <w:rPr>
          <w:rFonts w:ascii="Arial" w:hAnsi="Arial" w:cs="Arial"/>
        </w:rPr>
        <w:t>7</w:t>
      </w:r>
      <w:r w:rsidR="003B623B" w:rsidRPr="005B15D9">
        <w:rPr>
          <w:rFonts w:ascii="Arial" w:hAnsi="Arial" w:cs="Arial"/>
        </w:rPr>
        <w:t>a precariedade d</w:t>
      </w:r>
      <w:r w:rsidR="003C27B4" w:rsidRPr="005B15D9">
        <w:rPr>
          <w:rFonts w:ascii="Arial" w:hAnsi="Arial" w:cs="Arial"/>
        </w:rPr>
        <w:t xml:space="preserve">as formas de intervenção para a implantação das edificações </w:t>
      </w:r>
      <w:r w:rsidR="003B623B" w:rsidRPr="005B15D9">
        <w:rPr>
          <w:rFonts w:ascii="Arial" w:hAnsi="Arial" w:cs="Arial"/>
        </w:rPr>
        <w:t xml:space="preserve">levando a crer que </w:t>
      </w:r>
      <w:r w:rsidR="003C27B4" w:rsidRPr="005B15D9">
        <w:rPr>
          <w:rFonts w:ascii="Arial" w:hAnsi="Arial" w:cs="Arial"/>
        </w:rPr>
        <w:t xml:space="preserve">não </w:t>
      </w:r>
      <w:r w:rsidR="003B623B" w:rsidRPr="005B15D9">
        <w:rPr>
          <w:rFonts w:ascii="Arial" w:hAnsi="Arial" w:cs="Arial"/>
        </w:rPr>
        <w:t>é dada a devida atenção à</w:t>
      </w:r>
      <w:r w:rsidR="003C27B4" w:rsidRPr="005B15D9">
        <w:rPr>
          <w:rFonts w:ascii="Arial" w:hAnsi="Arial" w:cs="Arial"/>
        </w:rPr>
        <w:t>s restrições do meio físico</w:t>
      </w:r>
      <w:r w:rsidR="003A2851" w:rsidRPr="005B15D9">
        <w:rPr>
          <w:rFonts w:ascii="Arial" w:hAnsi="Arial" w:cs="Arial"/>
        </w:rPr>
        <w:t xml:space="preserve"> (</w:t>
      </w:r>
      <w:r w:rsidR="003C27B4" w:rsidRPr="005B15D9">
        <w:rPr>
          <w:rFonts w:ascii="Arial" w:hAnsi="Arial" w:cs="Arial"/>
        </w:rPr>
        <w:t>solo e declividade</w:t>
      </w:r>
      <w:r w:rsidR="003A2851" w:rsidRPr="005B15D9">
        <w:rPr>
          <w:rFonts w:ascii="Arial" w:hAnsi="Arial" w:cs="Arial"/>
        </w:rPr>
        <w:t>)</w:t>
      </w:r>
      <w:r w:rsidR="003B623B" w:rsidRPr="005B15D9">
        <w:rPr>
          <w:rFonts w:ascii="Arial" w:hAnsi="Arial" w:cs="Arial"/>
        </w:rPr>
        <w:t>.</w:t>
      </w:r>
    </w:p>
    <w:p w:rsidR="00DD0EAA" w:rsidRPr="005B15D9" w:rsidRDefault="0028427C" w:rsidP="003230EB">
      <w:pPr>
        <w:spacing w:after="0" w:line="312" w:lineRule="auto"/>
        <w:ind w:firstLine="567"/>
        <w:jc w:val="both"/>
        <w:rPr>
          <w:rFonts w:ascii="Arial" w:hAnsi="Arial" w:cs="Arial"/>
        </w:rPr>
      </w:pPr>
      <w:r w:rsidRPr="005B15D9">
        <w:rPr>
          <w:rFonts w:ascii="Arial" w:hAnsi="Arial" w:cs="Arial"/>
        </w:rPr>
        <w:t>Neste sentido, com o suporte da carta de declividade Faria et al. (no prelo), o mapeamento da evolução do crescimento das edificações no período de 1988 a 2015 e  suporte do software ArcGis versão 10.</w:t>
      </w:r>
      <w:r w:rsidR="001117CE">
        <w:rPr>
          <w:rFonts w:ascii="Arial" w:hAnsi="Arial" w:cs="Arial"/>
        </w:rPr>
        <w:t>2</w:t>
      </w:r>
      <w:r w:rsidRPr="005B15D9">
        <w:rPr>
          <w:rFonts w:ascii="Arial" w:hAnsi="Arial" w:cs="Arial"/>
        </w:rPr>
        <w:t>, foi realizado o cruzamento das áreas edificadas com as diferentes classes de declividade, para poder quantificar a expressão de área construída nas classes de declividade e poder avaliar o crescimento principalmente nas classes consideradas restritas (15% a 30%) e altamente restritas (declividades superiores a 30%).</w:t>
      </w:r>
      <w:r w:rsidR="00DD0EAA" w:rsidRPr="005B15D9">
        <w:rPr>
          <w:rFonts w:ascii="Arial" w:hAnsi="Arial" w:cs="Arial"/>
        </w:rPr>
        <w:t xml:space="preserve"> A Figura 0</w:t>
      </w:r>
      <w:r w:rsidR="001E327F" w:rsidRPr="005B15D9">
        <w:rPr>
          <w:rFonts w:ascii="Arial" w:hAnsi="Arial" w:cs="Arial"/>
        </w:rPr>
        <w:t>8</w:t>
      </w:r>
      <w:r w:rsidR="00163F90" w:rsidRPr="005B15D9">
        <w:rPr>
          <w:rFonts w:ascii="Arial" w:hAnsi="Arial" w:cs="Arial"/>
        </w:rPr>
        <w:t xml:space="preserve">apresenta a distribuição das edificações nas diferentes classes de declividade </w:t>
      </w:r>
      <w:r w:rsidR="006573C1" w:rsidRPr="005B15D9">
        <w:rPr>
          <w:rFonts w:ascii="Arial" w:hAnsi="Arial" w:cs="Arial"/>
        </w:rPr>
        <w:t>no perí</w:t>
      </w:r>
      <w:r w:rsidR="001E327F" w:rsidRPr="005B15D9">
        <w:rPr>
          <w:rFonts w:ascii="Arial" w:hAnsi="Arial" w:cs="Arial"/>
        </w:rPr>
        <w:t>odo de 1988 a 2015 e a Tabela 02</w:t>
      </w:r>
      <w:r w:rsidR="006573C1" w:rsidRPr="005B15D9">
        <w:rPr>
          <w:rFonts w:ascii="Arial" w:hAnsi="Arial" w:cs="Arial"/>
        </w:rPr>
        <w:t xml:space="preserve"> a quantificação das edificações para as diferentes classes de </w:t>
      </w:r>
      <w:r w:rsidR="007B710D" w:rsidRPr="005B15D9">
        <w:rPr>
          <w:rFonts w:ascii="Arial" w:hAnsi="Arial" w:cs="Arial"/>
        </w:rPr>
        <w:t>declividade no</w:t>
      </w:r>
      <w:r w:rsidR="006573C1" w:rsidRPr="005B15D9">
        <w:rPr>
          <w:rFonts w:ascii="Arial" w:hAnsi="Arial" w:cs="Arial"/>
        </w:rPr>
        <w:t xml:space="preserve"> mesmo período.</w:t>
      </w:r>
    </w:p>
    <w:p w:rsidR="00DD0EAA" w:rsidRPr="005B15D9" w:rsidRDefault="00DD0EAA" w:rsidP="003230EB">
      <w:pPr>
        <w:spacing w:after="0" w:line="312" w:lineRule="auto"/>
        <w:ind w:firstLine="567"/>
        <w:rPr>
          <w:rFonts w:ascii="Arial" w:hAnsi="Arial" w:cs="Arial"/>
          <w:sz w:val="20"/>
          <w:szCs w:val="20"/>
        </w:rPr>
      </w:pPr>
    </w:p>
    <w:p w:rsidR="00F03FBE" w:rsidRPr="005B15D9" w:rsidRDefault="003230EB">
      <w:pPr>
        <w:rPr>
          <w:rFonts w:ascii="Arial" w:hAnsi="Arial" w:cs="Arial"/>
        </w:rPr>
      </w:pPr>
      <w:r w:rsidRPr="005B15D9">
        <w:rPr>
          <w:rFonts w:ascii="Arial" w:hAnsi="Arial" w:cs="Arial"/>
          <w:noProof/>
        </w:rPr>
        <w:lastRenderedPageBreak/>
        <w:drawing>
          <wp:inline distT="0" distB="0" distL="0" distR="0">
            <wp:extent cx="5400040" cy="4172585"/>
            <wp:effectExtent l="19050" t="0" r="0" b="0"/>
            <wp:docPr id="15" name="Imagem 14" descr="Decliv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ive 08.jpg"/>
                    <pic:cNvPicPr/>
                  </pic:nvPicPr>
                  <pic:blipFill>
                    <a:blip r:embed="rId15" cstate="print"/>
                    <a:stretch>
                      <a:fillRect/>
                    </a:stretch>
                  </pic:blipFill>
                  <pic:spPr>
                    <a:xfrm>
                      <a:off x="0" y="0"/>
                      <a:ext cx="5400040" cy="4172585"/>
                    </a:xfrm>
                    <a:prstGeom prst="rect">
                      <a:avLst/>
                    </a:prstGeom>
                  </pic:spPr>
                </pic:pic>
              </a:graphicData>
            </a:graphic>
          </wp:inline>
        </w:drawing>
      </w:r>
    </w:p>
    <w:p w:rsidR="00833FBC" w:rsidRPr="005B15D9" w:rsidRDefault="0028427C" w:rsidP="003230EB">
      <w:pPr>
        <w:spacing w:after="0" w:line="240" w:lineRule="auto"/>
        <w:ind w:left="567"/>
        <w:rPr>
          <w:rFonts w:ascii="Arial" w:hAnsi="Arial" w:cs="Arial"/>
          <w:sz w:val="20"/>
          <w:szCs w:val="20"/>
        </w:rPr>
      </w:pPr>
      <w:r w:rsidRPr="005B15D9">
        <w:rPr>
          <w:rFonts w:ascii="Arial" w:hAnsi="Arial" w:cs="Arial"/>
          <w:sz w:val="20"/>
          <w:szCs w:val="20"/>
        </w:rPr>
        <w:t>Figura 08 - Carta de declividade com a distribuição espacial das edificações (em preto ) na área de estudo no período de 1988 a 2015.</w:t>
      </w:r>
    </w:p>
    <w:p w:rsidR="00FE2DA5" w:rsidRPr="005B15D9" w:rsidRDefault="00FE2DA5" w:rsidP="003230EB">
      <w:pPr>
        <w:spacing w:after="0" w:line="240" w:lineRule="auto"/>
        <w:ind w:left="567"/>
        <w:rPr>
          <w:rFonts w:ascii="Arial" w:hAnsi="Arial" w:cs="Arial"/>
          <w:sz w:val="20"/>
          <w:szCs w:val="20"/>
        </w:rPr>
      </w:pPr>
      <w:r w:rsidRPr="005B15D9">
        <w:rPr>
          <w:rFonts w:ascii="Arial" w:hAnsi="Arial" w:cs="Arial"/>
          <w:sz w:val="20"/>
          <w:szCs w:val="20"/>
        </w:rPr>
        <w:t xml:space="preserve">Fonte: </w:t>
      </w:r>
      <w:r w:rsidR="00366D0D">
        <w:rPr>
          <w:rFonts w:ascii="Arial" w:hAnsi="Arial" w:cs="Arial"/>
          <w:sz w:val="20"/>
          <w:szCs w:val="20"/>
        </w:rPr>
        <w:t>Autor (</w:t>
      </w:r>
      <w:r w:rsidRPr="005B15D9">
        <w:rPr>
          <w:rFonts w:ascii="Arial" w:hAnsi="Arial" w:cs="Arial"/>
          <w:sz w:val="20"/>
          <w:szCs w:val="20"/>
        </w:rPr>
        <w:t>2016</w:t>
      </w:r>
      <w:r w:rsidR="00366D0D">
        <w:rPr>
          <w:rFonts w:ascii="Arial" w:hAnsi="Arial" w:cs="Arial"/>
          <w:sz w:val="20"/>
          <w:szCs w:val="20"/>
        </w:rPr>
        <w:t>).</w:t>
      </w:r>
    </w:p>
    <w:p w:rsidR="003230EB" w:rsidRPr="005B15D9" w:rsidRDefault="003230EB" w:rsidP="00893914">
      <w:pPr>
        <w:spacing w:line="312" w:lineRule="auto"/>
        <w:rPr>
          <w:rFonts w:ascii="Arial" w:hAnsi="Arial" w:cs="Arial"/>
        </w:rPr>
      </w:pPr>
    </w:p>
    <w:p w:rsidR="006573C1" w:rsidRPr="005B15D9" w:rsidRDefault="00EB4638" w:rsidP="00893914">
      <w:pPr>
        <w:spacing w:line="312" w:lineRule="auto"/>
        <w:rPr>
          <w:rFonts w:ascii="Arial" w:hAnsi="Arial" w:cs="Arial"/>
        </w:rPr>
      </w:pPr>
      <w:r w:rsidRPr="005B15D9">
        <w:rPr>
          <w:rFonts w:ascii="Arial" w:hAnsi="Arial" w:cs="Arial"/>
        </w:rPr>
        <w:t>Tabela 02</w:t>
      </w:r>
      <w:r w:rsidR="006573C1" w:rsidRPr="005B15D9">
        <w:rPr>
          <w:rFonts w:ascii="Arial" w:hAnsi="Arial" w:cs="Arial"/>
        </w:rPr>
        <w:t xml:space="preserve"> – Quantificação das áreas edificadas nas diferentes classes de declividade no período analisado.</w:t>
      </w:r>
    </w:p>
    <w:p w:rsidR="00525451" w:rsidRPr="005B15D9" w:rsidRDefault="005F7C02" w:rsidP="00F03FBE">
      <w:pPr>
        <w:rPr>
          <w:rFonts w:ascii="Arial" w:hAnsi="Arial" w:cs="Arial"/>
        </w:rPr>
      </w:pPr>
      <w:r w:rsidRPr="005B15D9">
        <w:rPr>
          <w:rFonts w:ascii="Arial" w:hAnsi="Arial" w:cs="Arial"/>
          <w:noProof/>
        </w:rPr>
        <w:drawing>
          <wp:inline distT="0" distB="0" distL="0" distR="0">
            <wp:extent cx="5400040" cy="1743044"/>
            <wp:effectExtent l="19050" t="0" r="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00040" cy="1743044"/>
                    </a:xfrm>
                    <a:prstGeom prst="rect">
                      <a:avLst/>
                    </a:prstGeom>
                    <a:noFill/>
                    <a:ln w="9525">
                      <a:noFill/>
                      <a:miter lim="800000"/>
                      <a:headEnd/>
                      <a:tailEnd/>
                    </a:ln>
                  </pic:spPr>
                </pic:pic>
              </a:graphicData>
            </a:graphic>
          </wp:inline>
        </w:drawing>
      </w:r>
    </w:p>
    <w:p w:rsidR="005F7C02" w:rsidRPr="005B15D9" w:rsidRDefault="005F7C02" w:rsidP="00044CEA">
      <w:pPr>
        <w:pStyle w:val="ecxmsonormal"/>
        <w:shd w:val="clear" w:color="auto" w:fill="FFFFFF"/>
        <w:spacing w:before="0" w:beforeAutospacing="0" w:after="0" w:afterAutospacing="0" w:line="312" w:lineRule="auto"/>
        <w:ind w:firstLine="709"/>
        <w:jc w:val="both"/>
        <w:rPr>
          <w:rFonts w:ascii="Arial" w:hAnsi="Arial" w:cs="Arial"/>
          <w:sz w:val="22"/>
          <w:szCs w:val="22"/>
        </w:rPr>
      </w:pPr>
    </w:p>
    <w:p w:rsidR="00044CEA" w:rsidRPr="005B15D9" w:rsidRDefault="00044CEA" w:rsidP="005F7C02">
      <w:pPr>
        <w:pStyle w:val="ecxmsonormal"/>
        <w:shd w:val="clear" w:color="auto" w:fill="FFFFFF"/>
        <w:spacing w:before="0" w:beforeAutospacing="0" w:after="0" w:afterAutospacing="0" w:line="312" w:lineRule="auto"/>
        <w:ind w:firstLine="567"/>
        <w:jc w:val="both"/>
        <w:rPr>
          <w:rFonts w:ascii="Arial" w:hAnsi="Arial" w:cs="Arial"/>
          <w:sz w:val="22"/>
          <w:szCs w:val="22"/>
        </w:rPr>
      </w:pPr>
      <w:r w:rsidRPr="005B15D9">
        <w:rPr>
          <w:rFonts w:ascii="Arial" w:hAnsi="Arial" w:cs="Arial"/>
          <w:sz w:val="22"/>
          <w:szCs w:val="22"/>
        </w:rPr>
        <w:t xml:space="preserve">Pelos dados da Tabela 02, pode-se constatar que a grande maioria das edificações estão implantadas nas classes de declividade de 15 a 30% e de 30 a 50%. Segundo Mascaró (2003) as declividades de 16 a 30% são áreas que precisam de obras especiais para a implantação de sistemas viários e que por sua vez também tem restrições ás edificações. Segundo ainda o mesmo autor as declividades acima de </w:t>
      </w:r>
      <w:r w:rsidRPr="005B15D9">
        <w:rPr>
          <w:rFonts w:ascii="Arial" w:hAnsi="Arial" w:cs="Arial"/>
          <w:sz w:val="22"/>
          <w:szCs w:val="22"/>
        </w:rPr>
        <w:lastRenderedPageBreak/>
        <w:t>30% em princípio são inadequadas para construção, precisando inclusive de obras especiais para sua estabilização. Desta feita verifica-se pela Tabela 02 que o percentual médio de ocupação com as edificações nas classes de declividade de</w:t>
      </w:r>
      <w:r w:rsidRPr="005B15D9">
        <w:rPr>
          <w:rFonts w:ascii="Arial" w:hAnsi="Arial" w:cs="Arial"/>
          <w:b/>
          <w:bCs/>
          <w:i/>
          <w:iCs/>
          <w:sz w:val="22"/>
          <w:szCs w:val="22"/>
        </w:rPr>
        <w:t>15 a 30%</w:t>
      </w:r>
      <w:r w:rsidR="0056181D" w:rsidRPr="005B15D9">
        <w:rPr>
          <w:rFonts w:ascii="Arial" w:hAnsi="Arial" w:cs="Arial"/>
          <w:b/>
          <w:bCs/>
          <w:i/>
          <w:iCs/>
          <w:sz w:val="22"/>
          <w:szCs w:val="22"/>
        </w:rPr>
        <w:t xml:space="preserve"> é</w:t>
      </w:r>
      <w:r w:rsidRPr="005B15D9">
        <w:rPr>
          <w:rFonts w:ascii="Arial" w:hAnsi="Arial" w:cs="Arial"/>
          <w:sz w:val="22"/>
          <w:szCs w:val="22"/>
        </w:rPr>
        <w:t xml:space="preserve"> de</w:t>
      </w:r>
      <w:r w:rsidRPr="005B15D9">
        <w:rPr>
          <w:rFonts w:ascii="Arial" w:hAnsi="Arial" w:cs="Arial"/>
          <w:b/>
          <w:bCs/>
          <w:i/>
          <w:iCs/>
          <w:sz w:val="22"/>
          <w:szCs w:val="22"/>
        </w:rPr>
        <w:t>32,14 %</w:t>
      </w:r>
      <w:r w:rsidRPr="005B15D9">
        <w:rPr>
          <w:rStyle w:val="apple-converted-space"/>
          <w:rFonts w:ascii="Arial" w:hAnsi="Arial" w:cs="Arial"/>
          <w:sz w:val="22"/>
          <w:szCs w:val="22"/>
        </w:rPr>
        <w:t> </w:t>
      </w:r>
      <w:r w:rsidRPr="005B15D9">
        <w:rPr>
          <w:rFonts w:ascii="Arial" w:hAnsi="Arial" w:cs="Arial"/>
          <w:sz w:val="22"/>
          <w:szCs w:val="22"/>
        </w:rPr>
        <w:t>e na classe de</w:t>
      </w:r>
      <w:r w:rsidRPr="005B15D9">
        <w:rPr>
          <w:rStyle w:val="apple-converted-space"/>
          <w:rFonts w:ascii="Arial" w:hAnsi="Arial" w:cs="Arial"/>
          <w:sz w:val="22"/>
          <w:szCs w:val="22"/>
        </w:rPr>
        <w:t> </w:t>
      </w:r>
      <w:r w:rsidRPr="005B15D9">
        <w:rPr>
          <w:rFonts w:ascii="Arial" w:hAnsi="Arial" w:cs="Arial"/>
          <w:b/>
          <w:bCs/>
          <w:i/>
          <w:iCs/>
          <w:sz w:val="22"/>
          <w:szCs w:val="22"/>
        </w:rPr>
        <w:t>30 a 50%</w:t>
      </w:r>
      <w:r w:rsidRPr="005B15D9">
        <w:rPr>
          <w:rStyle w:val="apple-converted-space"/>
          <w:rFonts w:ascii="Arial" w:hAnsi="Arial" w:cs="Arial"/>
          <w:b/>
          <w:bCs/>
          <w:i/>
          <w:iCs/>
          <w:sz w:val="22"/>
          <w:szCs w:val="22"/>
        </w:rPr>
        <w:t> </w:t>
      </w:r>
      <w:r w:rsidRPr="005B15D9">
        <w:rPr>
          <w:rFonts w:ascii="Arial" w:hAnsi="Arial" w:cs="Arial"/>
          <w:sz w:val="22"/>
          <w:szCs w:val="22"/>
        </w:rPr>
        <w:t>é de</w:t>
      </w:r>
      <w:r w:rsidRPr="005B15D9">
        <w:rPr>
          <w:rStyle w:val="apple-converted-space"/>
          <w:rFonts w:ascii="Arial" w:hAnsi="Arial" w:cs="Arial"/>
          <w:sz w:val="22"/>
          <w:szCs w:val="22"/>
        </w:rPr>
        <w:t> </w:t>
      </w:r>
      <w:r w:rsidRPr="005B15D9">
        <w:rPr>
          <w:rFonts w:ascii="Arial" w:hAnsi="Arial" w:cs="Arial"/>
          <w:b/>
          <w:bCs/>
          <w:i/>
          <w:iCs/>
          <w:sz w:val="22"/>
          <w:szCs w:val="22"/>
        </w:rPr>
        <w:t>35,28 %</w:t>
      </w:r>
      <w:r w:rsidRPr="005B15D9">
        <w:rPr>
          <w:rFonts w:ascii="Arial" w:hAnsi="Arial" w:cs="Arial"/>
          <w:sz w:val="22"/>
          <w:szCs w:val="22"/>
        </w:rPr>
        <w:t>  </w:t>
      </w:r>
      <w:r w:rsidRPr="005B15D9">
        <w:rPr>
          <w:rStyle w:val="apple-converted-space"/>
          <w:rFonts w:ascii="Arial" w:hAnsi="Arial" w:cs="Arial"/>
          <w:sz w:val="22"/>
          <w:szCs w:val="22"/>
        </w:rPr>
        <w:t> </w:t>
      </w:r>
      <w:r w:rsidRPr="005B15D9">
        <w:rPr>
          <w:rFonts w:ascii="Arial" w:hAnsi="Arial" w:cs="Arial"/>
          <w:sz w:val="22"/>
          <w:szCs w:val="22"/>
        </w:rPr>
        <w:t>no período analisado, os quais juntos d</w:t>
      </w:r>
      <w:r w:rsidR="00DF3F09" w:rsidRPr="005B15D9">
        <w:rPr>
          <w:rFonts w:ascii="Arial" w:hAnsi="Arial" w:cs="Arial"/>
          <w:sz w:val="22"/>
          <w:szCs w:val="22"/>
        </w:rPr>
        <w:t xml:space="preserve">emonstram que a ocupação destas </w:t>
      </w:r>
      <w:r w:rsidRPr="005B15D9">
        <w:rPr>
          <w:rFonts w:ascii="Arial" w:hAnsi="Arial" w:cs="Arial"/>
          <w:sz w:val="22"/>
          <w:szCs w:val="22"/>
        </w:rPr>
        <w:t>áreas críticas são superiores a 65% de ocupação.</w:t>
      </w:r>
    </w:p>
    <w:p w:rsidR="00044CEA" w:rsidRPr="005B15D9" w:rsidRDefault="00044CEA" w:rsidP="005F7C02">
      <w:pPr>
        <w:pStyle w:val="ecxmsonormal"/>
        <w:shd w:val="clear" w:color="auto" w:fill="FFFFFF"/>
        <w:spacing w:before="0" w:beforeAutospacing="0" w:after="0" w:afterAutospacing="0" w:line="312" w:lineRule="auto"/>
        <w:ind w:firstLine="567"/>
        <w:jc w:val="both"/>
        <w:rPr>
          <w:rFonts w:ascii="Arial" w:hAnsi="Arial" w:cs="Arial"/>
          <w:sz w:val="22"/>
          <w:szCs w:val="22"/>
        </w:rPr>
      </w:pPr>
      <w:r w:rsidRPr="005B15D9">
        <w:rPr>
          <w:rFonts w:ascii="Arial" w:hAnsi="Arial" w:cs="Arial"/>
          <w:sz w:val="22"/>
          <w:szCs w:val="22"/>
        </w:rPr>
        <w:t>Com base nestes dados, pode-se inferir que a criticidade destas ocupações são altamente significativas e embora ofereçam alto risco a situações de escorregamentos elas demonstram que estas ocupações irregulares continuam acontecendo e conseqüentemente se oferecem como um grande desafio ao setor público no sentido de solução.</w:t>
      </w:r>
    </w:p>
    <w:p w:rsidR="005F7C02" w:rsidRPr="005B15D9" w:rsidRDefault="005F7C02" w:rsidP="005F7C02">
      <w:pPr>
        <w:pStyle w:val="ecxmsonormal"/>
        <w:shd w:val="clear" w:color="auto" w:fill="FFFFFF"/>
        <w:spacing w:before="0" w:beforeAutospacing="0" w:after="0" w:afterAutospacing="0" w:line="312" w:lineRule="auto"/>
        <w:ind w:firstLine="567"/>
        <w:jc w:val="both"/>
        <w:rPr>
          <w:rFonts w:ascii="Arial" w:hAnsi="Arial" w:cs="Arial"/>
          <w:sz w:val="22"/>
          <w:szCs w:val="22"/>
        </w:rPr>
      </w:pPr>
    </w:p>
    <w:p w:rsidR="00044CEA" w:rsidRPr="005B15D9" w:rsidRDefault="00DF3F09" w:rsidP="005F7C02">
      <w:pPr>
        <w:pStyle w:val="ecxmsonormal"/>
        <w:shd w:val="clear" w:color="auto" w:fill="FFFFFF"/>
        <w:spacing w:before="0" w:beforeAutospacing="0" w:after="0" w:afterAutospacing="0" w:line="312" w:lineRule="auto"/>
        <w:ind w:firstLine="567"/>
        <w:rPr>
          <w:rFonts w:ascii="Arial" w:hAnsi="Arial" w:cs="Arial"/>
          <w:b/>
          <w:bCs/>
          <w:sz w:val="22"/>
          <w:szCs w:val="22"/>
        </w:rPr>
      </w:pPr>
      <w:r w:rsidRPr="005B15D9">
        <w:rPr>
          <w:rFonts w:ascii="Arial" w:hAnsi="Arial" w:cs="Arial"/>
          <w:b/>
          <w:bCs/>
          <w:sz w:val="22"/>
          <w:szCs w:val="22"/>
        </w:rPr>
        <w:t>4</w:t>
      </w:r>
      <w:r w:rsidR="00044CEA" w:rsidRPr="005B15D9">
        <w:rPr>
          <w:rFonts w:ascii="Arial" w:hAnsi="Arial" w:cs="Arial"/>
          <w:b/>
          <w:bCs/>
          <w:sz w:val="22"/>
          <w:szCs w:val="22"/>
        </w:rPr>
        <w:t>. CONSIDERAÇÕES FINAIS</w:t>
      </w:r>
    </w:p>
    <w:p w:rsidR="005F7C02" w:rsidRPr="005B15D9" w:rsidRDefault="005F7C02" w:rsidP="005F7C02">
      <w:pPr>
        <w:pStyle w:val="ecxmsonormal"/>
        <w:shd w:val="clear" w:color="auto" w:fill="FFFFFF"/>
        <w:spacing w:before="0" w:beforeAutospacing="0" w:after="0" w:afterAutospacing="0" w:line="312" w:lineRule="auto"/>
        <w:ind w:firstLine="567"/>
        <w:rPr>
          <w:rFonts w:ascii="Arial" w:hAnsi="Arial" w:cs="Arial"/>
          <w:sz w:val="22"/>
          <w:szCs w:val="22"/>
        </w:rPr>
      </w:pPr>
    </w:p>
    <w:p w:rsidR="00F37321" w:rsidRPr="005B15D9" w:rsidRDefault="00F37321" w:rsidP="00F37321">
      <w:pPr>
        <w:spacing w:line="312" w:lineRule="auto"/>
        <w:ind w:firstLine="709"/>
        <w:jc w:val="both"/>
        <w:rPr>
          <w:rFonts w:ascii="Arial" w:hAnsi="Arial" w:cs="Arial"/>
        </w:rPr>
      </w:pPr>
      <w:r w:rsidRPr="005B15D9">
        <w:rPr>
          <w:rFonts w:ascii="Arial" w:hAnsi="Arial" w:cs="Arial"/>
        </w:rPr>
        <w:t xml:space="preserve">Os resultados obtidos permite concluir que houve um crescimento temporal considerável das edificações nos loteamentos irregulares estudados e, consequentemente, um aumento da complexidade dos riscos de escorregamento nos mesmos. Constatou-se ainda que nos últimos 10 anos o aumento das edificações nestas áreas foi mais acentuado, registrando um crescimento da ordem de 104%. </w:t>
      </w:r>
    </w:p>
    <w:p w:rsidR="00F37321" w:rsidRPr="005B15D9" w:rsidRDefault="00F37321" w:rsidP="00F37321">
      <w:pPr>
        <w:spacing w:line="312" w:lineRule="auto"/>
        <w:ind w:firstLine="709"/>
        <w:jc w:val="both"/>
        <w:rPr>
          <w:rFonts w:ascii="Arial" w:hAnsi="Arial" w:cs="Arial"/>
        </w:rPr>
      </w:pPr>
      <w:r w:rsidRPr="005B15D9">
        <w:rPr>
          <w:rFonts w:ascii="Arial" w:hAnsi="Arial" w:cs="Arial"/>
        </w:rPr>
        <w:t>Verificou-se que a maioria das edificações construídas nos loteamentos irregulares estudados está situada em classes de declividade acima de 30%, podendo ser consideradas como áreas impróprias para expansão urbana, segundo legislação de uso e ocupação do solo.</w:t>
      </w:r>
    </w:p>
    <w:p w:rsidR="00F37321" w:rsidRPr="005B15D9" w:rsidRDefault="00F37321" w:rsidP="00F37321">
      <w:pPr>
        <w:spacing w:line="312" w:lineRule="auto"/>
        <w:ind w:firstLine="709"/>
        <w:jc w:val="both"/>
        <w:rPr>
          <w:rFonts w:ascii="Arial" w:hAnsi="Arial" w:cs="Arial"/>
        </w:rPr>
      </w:pPr>
      <w:r w:rsidRPr="005B15D9">
        <w:rPr>
          <w:rFonts w:ascii="Arial" w:hAnsi="Arial" w:cs="Arial"/>
        </w:rPr>
        <w:t>Os loteamentos irregulares estudados apresentam diversas moradias situadas em áreas de riscos a escorregamento conforme dados de mapeamento de risco recentes e, no entanto, constatou-se que tais loteamentos encontram-se atualmente em constante processo de ampliação das edificações e, por conseguinte, das áreas de risco.</w:t>
      </w:r>
    </w:p>
    <w:p w:rsidR="00044CEA" w:rsidRPr="005B15D9" w:rsidRDefault="00044CEA" w:rsidP="00DF3F09">
      <w:pPr>
        <w:spacing w:after="0" w:line="26" w:lineRule="atLeast"/>
        <w:rPr>
          <w:rFonts w:ascii="Arial" w:hAnsi="Arial" w:cs="Arial"/>
        </w:rPr>
      </w:pPr>
    </w:p>
    <w:p w:rsidR="00893914" w:rsidRPr="005B15D9" w:rsidRDefault="00DF3F09" w:rsidP="00893914">
      <w:pPr>
        <w:spacing w:line="26" w:lineRule="atLeast"/>
        <w:rPr>
          <w:rFonts w:ascii="Arial" w:hAnsi="Arial" w:cs="Arial"/>
          <w:b/>
        </w:rPr>
      </w:pPr>
      <w:r w:rsidRPr="005B15D9">
        <w:rPr>
          <w:rFonts w:ascii="Arial" w:hAnsi="Arial" w:cs="Arial"/>
          <w:b/>
        </w:rPr>
        <w:t>5</w:t>
      </w:r>
      <w:r w:rsidR="00893914" w:rsidRPr="005B15D9">
        <w:rPr>
          <w:rFonts w:ascii="Arial" w:hAnsi="Arial" w:cs="Arial"/>
          <w:b/>
        </w:rPr>
        <w:t>. REFERÊNCIAS BIBLIOGRÁFICAS</w:t>
      </w:r>
    </w:p>
    <w:p w:rsidR="00DE3923" w:rsidRPr="00366D0D" w:rsidRDefault="003C06AA" w:rsidP="003C06AA">
      <w:pPr>
        <w:spacing w:after="0" w:line="26" w:lineRule="atLeast"/>
        <w:jc w:val="both"/>
        <w:rPr>
          <w:rFonts w:ascii="Arial" w:hAnsi="Arial" w:cs="Arial"/>
        </w:rPr>
      </w:pPr>
      <w:r w:rsidRPr="00366D0D">
        <w:rPr>
          <w:rFonts w:ascii="Arial" w:hAnsi="Arial" w:cs="Arial"/>
        </w:rPr>
        <w:t>AUGUSTO FILHO, O. Caracterização geológica-geotécnica voltada à estabilização de encostas: Uma proposta Metodológica. In</w:t>
      </w:r>
      <w:r w:rsidR="004B3C7B" w:rsidRPr="00366D0D">
        <w:rPr>
          <w:rFonts w:ascii="Arial" w:hAnsi="Arial" w:cs="Arial"/>
        </w:rPr>
        <w:t>:</w:t>
      </w:r>
      <w:r w:rsidRPr="00366D0D">
        <w:rPr>
          <w:rFonts w:ascii="Arial" w:hAnsi="Arial" w:cs="Arial"/>
          <w:b/>
        </w:rPr>
        <w:t>Conferência Brasileira sobre Estabilidade de Encostas</w:t>
      </w:r>
      <w:r w:rsidRPr="00366D0D">
        <w:rPr>
          <w:rFonts w:ascii="Arial" w:hAnsi="Arial" w:cs="Arial"/>
        </w:rPr>
        <w:t>, Rio de Janeiro. ABMS-ABGE-ISSMGE, 1992, Vol. 2, pp.721-733.</w:t>
      </w:r>
    </w:p>
    <w:p w:rsidR="003C06AA" w:rsidRPr="00366D0D" w:rsidRDefault="003C06AA" w:rsidP="00893914">
      <w:pPr>
        <w:spacing w:after="0" w:line="26" w:lineRule="atLeast"/>
        <w:jc w:val="both"/>
        <w:rPr>
          <w:rFonts w:ascii="Arial" w:hAnsi="Arial" w:cs="Arial"/>
        </w:rPr>
      </w:pPr>
    </w:p>
    <w:p w:rsidR="00893914" w:rsidRPr="00366D0D" w:rsidRDefault="00893914" w:rsidP="00893914">
      <w:pPr>
        <w:spacing w:after="0" w:line="26" w:lineRule="atLeast"/>
        <w:jc w:val="both"/>
        <w:rPr>
          <w:rFonts w:ascii="Arial" w:hAnsi="Arial" w:cs="Arial"/>
        </w:rPr>
      </w:pPr>
      <w:r w:rsidRPr="00366D0D">
        <w:rPr>
          <w:rFonts w:ascii="Arial" w:hAnsi="Arial" w:cs="Arial"/>
        </w:rPr>
        <w:t xml:space="preserve">CARMO, L. R. Urbanização e Desastres: Desafio para a segurança Humana no Brasil. In: ______(Org.). </w:t>
      </w:r>
      <w:r w:rsidRPr="00366D0D">
        <w:rPr>
          <w:rFonts w:ascii="Arial" w:hAnsi="Arial" w:cs="Arial"/>
          <w:b/>
        </w:rPr>
        <w:t>Segurança Humana no contexto dos Desastres.</w:t>
      </w:r>
      <w:r w:rsidRPr="00366D0D">
        <w:rPr>
          <w:rFonts w:ascii="Arial" w:hAnsi="Arial" w:cs="Arial"/>
        </w:rPr>
        <w:t xml:space="preserve"> São Carlos, Ed. Rima, 2014.</w:t>
      </w:r>
    </w:p>
    <w:p w:rsidR="00893914" w:rsidRPr="00366D0D" w:rsidRDefault="00893914"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jc w:val="both"/>
        <w:rPr>
          <w:rFonts w:ascii="Arial" w:eastAsia="Times New Roman" w:hAnsi="Arial" w:cs="Arial"/>
          <w:sz w:val="23"/>
          <w:szCs w:val="23"/>
        </w:rPr>
      </w:pPr>
    </w:p>
    <w:p w:rsidR="00893914" w:rsidRPr="00366D0D" w:rsidRDefault="002D2C58"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jc w:val="both"/>
        <w:rPr>
          <w:rFonts w:ascii="Arial" w:eastAsia="Times New Roman" w:hAnsi="Arial" w:cs="Arial"/>
        </w:rPr>
      </w:pPr>
      <w:r w:rsidRPr="00366D0D">
        <w:rPr>
          <w:rFonts w:ascii="Arial" w:eastAsia="Times New Roman" w:hAnsi="Arial" w:cs="Arial"/>
        </w:rPr>
        <w:t>FARIA, D.G.M.; MENDES, R.M.; VALÉRIO FILHO, M.;</w:t>
      </w:r>
      <w:r w:rsidR="00834276" w:rsidRPr="00366D0D">
        <w:rPr>
          <w:rFonts w:ascii="Arial" w:eastAsia="Times New Roman" w:hAnsi="Arial" w:cs="Arial"/>
        </w:rPr>
        <w:t xml:space="preserve"> BERTOLDO, M.A.; </w:t>
      </w:r>
      <w:r w:rsidRPr="00366D0D">
        <w:rPr>
          <w:rFonts w:ascii="Arial" w:eastAsia="Times New Roman" w:hAnsi="Arial" w:cs="Arial"/>
        </w:rPr>
        <w:t>SILVA, M.F.</w:t>
      </w:r>
      <w:r w:rsidR="00893914" w:rsidRPr="00366D0D">
        <w:rPr>
          <w:rFonts w:ascii="Arial" w:eastAsia="Times New Roman" w:hAnsi="Arial" w:cs="Arial"/>
          <w:b/>
        </w:rPr>
        <w:t xml:space="preserve">Aplicação do processo de análise hierárquica (AHP) no mapeamento de risco associado a escorregamento no município de São José dos Campos - SP. </w:t>
      </w:r>
      <w:r w:rsidR="00893914" w:rsidRPr="00366D0D">
        <w:rPr>
          <w:rFonts w:ascii="Arial" w:eastAsia="Times New Roman" w:hAnsi="Arial" w:cs="Arial"/>
        </w:rPr>
        <w:t>Revista Brasileira de Cartografia. 12p. (no prelo).</w:t>
      </w:r>
    </w:p>
    <w:p w:rsidR="00893914" w:rsidRPr="00366D0D" w:rsidRDefault="00893914" w:rsidP="00893914">
      <w:pPr>
        <w:spacing w:after="0" w:line="26" w:lineRule="atLeast"/>
        <w:jc w:val="both"/>
        <w:rPr>
          <w:rFonts w:ascii="Arial" w:hAnsi="Arial" w:cs="Arial"/>
          <w:sz w:val="24"/>
          <w:szCs w:val="24"/>
        </w:rPr>
      </w:pPr>
    </w:p>
    <w:p w:rsidR="00893914" w:rsidRPr="00366D0D" w:rsidRDefault="00893914" w:rsidP="00893914">
      <w:pPr>
        <w:spacing w:line="26" w:lineRule="atLeast"/>
        <w:jc w:val="both"/>
        <w:rPr>
          <w:rFonts w:ascii="Arial" w:hAnsi="Arial" w:cs="Arial"/>
        </w:rPr>
      </w:pPr>
      <w:r w:rsidRPr="00366D0D">
        <w:rPr>
          <w:rFonts w:ascii="Arial" w:hAnsi="Arial" w:cs="Arial"/>
        </w:rPr>
        <w:lastRenderedPageBreak/>
        <w:t xml:space="preserve">FORLIN, L. G.; COSTA, S. M. F. </w:t>
      </w:r>
      <w:r w:rsidRPr="00366D0D">
        <w:rPr>
          <w:rFonts w:ascii="Arial" w:hAnsi="Arial" w:cs="Arial"/>
          <w:b/>
        </w:rPr>
        <w:t>Urbanização e segregação sócio-espacial na cidade de São José dos Campos - SP: o caso Pinheirinho</w:t>
      </w:r>
      <w:r w:rsidRPr="00366D0D">
        <w:rPr>
          <w:rFonts w:ascii="Arial" w:hAnsi="Arial" w:cs="Arial"/>
        </w:rPr>
        <w:t>.Geosul, Florianópolis, v. 25, n. 49, p 123-158, jan./jun. 2010.</w:t>
      </w:r>
    </w:p>
    <w:p w:rsidR="00DA5CF0" w:rsidRPr="00366D0D" w:rsidRDefault="00DA5CF0" w:rsidP="00DA5CF0">
      <w:pPr>
        <w:spacing w:line="26" w:lineRule="atLeast"/>
        <w:jc w:val="both"/>
        <w:rPr>
          <w:rFonts w:ascii="Arial" w:hAnsi="Arial" w:cs="Arial"/>
        </w:rPr>
      </w:pPr>
      <w:r w:rsidRPr="00366D0D">
        <w:rPr>
          <w:rFonts w:ascii="Arial" w:hAnsi="Arial" w:cs="Arial"/>
        </w:rPr>
        <w:t xml:space="preserve">GUERRA, A. J. T. Encostas urbanas. In: GUERRA, A. J. T. (Org.) </w:t>
      </w:r>
      <w:r w:rsidRPr="00366D0D">
        <w:rPr>
          <w:rFonts w:ascii="Arial" w:hAnsi="Arial" w:cs="Arial"/>
          <w:b/>
        </w:rPr>
        <w:t xml:space="preserve">Geomorfologia urbana. </w:t>
      </w:r>
      <w:r w:rsidRPr="00366D0D">
        <w:rPr>
          <w:rFonts w:ascii="Arial" w:hAnsi="Arial" w:cs="Arial"/>
        </w:rPr>
        <w:t>Rio de Janeiro: Bertrand Brasil, 2011. 280p.</w:t>
      </w:r>
    </w:p>
    <w:p w:rsidR="00893914" w:rsidRPr="00366D0D" w:rsidRDefault="00893914" w:rsidP="00893914">
      <w:pPr>
        <w:spacing w:line="26" w:lineRule="atLeast"/>
        <w:jc w:val="both"/>
        <w:rPr>
          <w:rFonts w:ascii="Arial" w:hAnsi="Arial" w:cs="Arial"/>
          <w:lang w:val="en-US"/>
        </w:rPr>
      </w:pPr>
      <w:r w:rsidRPr="00366D0D">
        <w:rPr>
          <w:rFonts w:ascii="Arial" w:hAnsi="Arial" w:cs="Arial"/>
        </w:rPr>
        <w:t xml:space="preserve">JENSEN, J. R. </w:t>
      </w:r>
      <w:r w:rsidRPr="00366D0D">
        <w:rPr>
          <w:rFonts w:ascii="Arial" w:hAnsi="Arial" w:cs="Arial"/>
          <w:b/>
        </w:rPr>
        <w:t>Sensoriamento Remoto do Ambiente: uma perspectiva em Recursos Terrestres.</w:t>
      </w:r>
      <w:r w:rsidRPr="00366D0D">
        <w:rPr>
          <w:rFonts w:ascii="Arial" w:hAnsi="Arial" w:cs="Arial"/>
        </w:rPr>
        <w:t>Traduação de J. C. N. Epiphanio</w:t>
      </w:r>
      <w:r w:rsidR="0071429D" w:rsidRPr="00366D0D">
        <w:rPr>
          <w:rFonts w:ascii="Arial" w:hAnsi="Arial" w:cs="Arial"/>
        </w:rPr>
        <w:t xml:space="preserve"> (Coord</w:t>
      </w:r>
      <w:r w:rsidRPr="00366D0D">
        <w:rPr>
          <w:rFonts w:ascii="Arial" w:hAnsi="Arial" w:cs="Arial"/>
        </w:rPr>
        <w:t>.</w:t>
      </w:r>
      <w:r w:rsidR="0071429D" w:rsidRPr="00366D0D">
        <w:rPr>
          <w:rFonts w:ascii="Arial" w:hAnsi="Arial" w:cs="Arial"/>
        </w:rPr>
        <w:t>).</w:t>
      </w:r>
      <w:r w:rsidRPr="00366D0D">
        <w:rPr>
          <w:rFonts w:ascii="Arial" w:hAnsi="Arial" w:cs="Arial"/>
          <w:lang w:val="en-US"/>
        </w:rPr>
        <w:t>São José dos Campos, SP: Parênteses, 2009. 598 p. (Prentice Hall Series in Geographic Information Sciennce) Tradução de: Remote Sensing of the environment: na earth resource perspective.</w:t>
      </w:r>
    </w:p>
    <w:p w:rsidR="00BF4DC4" w:rsidRPr="00366D0D" w:rsidRDefault="00BF4DC4" w:rsidP="00BF4DC4">
      <w:pPr>
        <w:spacing w:before="240" w:after="0" w:line="26" w:lineRule="atLeast"/>
        <w:jc w:val="both"/>
        <w:rPr>
          <w:rFonts w:ascii="Arial" w:hAnsi="Arial" w:cs="Arial"/>
        </w:rPr>
      </w:pPr>
      <w:r w:rsidRPr="00366D0D">
        <w:rPr>
          <w:rFonts w:ascii="Arial" w:hAnsi="Arial" w:cs="Arial"/>
        </w:rPr>
        <w:t xml:space="preserve">MASCARÓ, J. L. </w:t>
      </w:r>
      <w:r w:rsidRPr="00366D0D">
        <w:rPr>
          <w:rFonts w:ascii="Arial" w:hAnsi="Arial" w:cs="Arial"/>
          <w:b/>
        </w:rPr>
        <w:t>Loteamentos Urbanos</w:t>
      </w:r>
      <w:r w:rsidRPr="00366D0D">
        <w:rPr>
          <w:rFonts w:ascii="Arial" w:hAnsi="Arial" w:cs="Arial"/>
        </w:rPr>
        <w:t>. Porto Alegre: L. Mascaró, 2003. 210p.</w:t>
      </w:r>
    </w:p>
    <w:p w:rsidR="00893914" w:rsidRPr="00366D0D" w:rsidRDefault="00BF4DC4" w:rsidP="00893914">
      <w:pPr>
        <w:spacing w:before="240" w:after="0" w:line="26" w:lineRule="atLeast"/>
        <w:jc w:val="both"/>
        <w:rPr>
          <w:rFonts w:ascii="Arial" w:hAnsi="Arial" w:cs="Arial"/>
        </w:rPr>
      </w:pPr>
      <w:r w:rsidRPr="00366D0D">
        <w:rPr>
          <w:rFonts w:ascii="Arial" w:hAnsi="Arial" w:cs="Arial"/>
        </w:rPr>
        <w:t>P</w:t>
      </w:r>
      <w:r w:rsidR="0071429D" w:rsidRPr="00366D0D">
        <w:rPr>
          <w:rFonts w:ascii="Arial" w:hAnsi="Arial" w:cs="Arial"/>
        </w:rPr>
        <w:t>APALI et al. (C</w:t>
      </w:r>
      <w:r w:rsidR="00753F1A" w:rsidRPr="00366D0D">
        <w:rPr>
          <w:rFonts w:ascii="Arial" w:hAnsi="Arial" w:cs="Arial"/>
        </w:rPr>
        <w:t>oord</w:t>
      </w:r>
      <w:r w:rsidR="0071429D" w:rsidRPr="00366D0D">
        <w:rPr>
          <w:rFonts w:ascii="Arial" w:hAnsi="Arial" w:cs="Arial"/>
        </w:rPr>
        <w:t>.</w:t>
      </w:r>
      <w:r w:rsidR="00753F1A" w:rsidRPr="00366D0D">
        <w:rPr>
          <w:rFonts w:ascii="Arial" w:hAnsi="Arial" w:cs="Arial"/>
        </w:rPr>
        <w:t>)</w:t>
      </w:r>
      <w:r w:rsidR="0071429D" w:rsidRPr="00366D0D">
        <w:rPr>
          <w:rFonts w:ascii="Arial" w:hAnsi="Arial" w:cs="Arial"/>
        </w:rPr>
        <w:t>.</w:t>
      </w:r>
      <w:r w:rsidR="00893914" w:rsidRPr="00366D0D">
        <w:rPr>
          <w:rFonts w:ascii="Arial" w:hAnsi="Arial" w:cs="Arial"/>
          <w:b/>
        </w:rPr>
        <w:t>Dinâmica urbana na zona leste de São José dos Campos (SP) e a refinaria Henrique Lage (Revap).</w:t>
      </w:r>
      <w:r w:rsidR="00893914" w:rsidRPr="00366D0D">
        <w:rPr>
          <w:rFonts w:ascii="Arial" w:hAnsi="Arial" w:cs="Arial"/>
        </w:rPr>
        <w:t>COSTA, S. M. F.; MELLO, L. F. (Org.). Crescimento Urbano e Industrialização em São José dos Campos. 2010.</w:t>
      </w:r>
    </w:p>
    <w:p w:rsidR="00DA5CF0" w:rsidRPr="00366D0D" w:rsidRDefault="00DA5CF0" w:rsidP="00DA5CF0">
      <w:pPr>
        <w:spacing w:after="0" w:line="26" w:lineRule="atLeast"/>
        <w:jc w:val="both"/>
        <w:rPr>
          <w:rFonts w:ascii="Arial" w:hAnsi="Arial" w:cs="Arial"/>
        </w:rPr>
      </w:pPr>
    </w:p>
    <w:p w:rsidR="00DA5CF0" w:rsidRPr="00366D0D" w:rsidRDefault="00DA5CF0" w:rsidP="00DA5CF0">
      <w:pPr>
        <w:spacing w:line="26" w:lineRule="atLeast"/>
        <w:jc w:val="both"/>
        <w:rPr>
          <w:rFonts w:ascii="Arial" w:hAnsi="Arial" w:cs="Arial"/>
        </w:rPr>
      </w:pPr>
      <w:r w:rsidRPr="00366D0D">
        <w:rPr>
          <w:rFonts w:ascii="Arial" w:hAnsi="Arial" w:cs="Arial"/>
        </w:rPr>
        <w:t xml:space="preserve">POLIVANOV, H., BARROSO, E. V. Geotecnia Urbana. In: GUERRA, A. J. T. (Org.) </w:t>
      </w:r>
      <w:r w:rsidRPr="00366D0D">
        <w:rPr>
          <w:rFonts w:ascii="Arial" w:hAnsi="Arial" w:cs="Arial"/>
          <w:b/>
        </w:rPr>
        <w:t xml:space="preserve">Geomorfologia urbana. </w:t>
      </w:r>
      <w:r w:rsidRPr="00366D0D">
        <w:rPr>
          <w:rFonts w:ascii="Arial" w:hAnsi="Arial" w:cs="Arial"/>
        </w:rPr>
        <w:t>Rio de Janeiro: Bertrand Brasil, 2011. 280p.</w:t>
      </w:r>
    </w:p>
    <w:p w:rsidR="007540DD" w:rsidRPr="00366D0D" w:rsidRDefault="007540DD" w:rsidP="00893914">
      <w:pPr>
        <w:spacing w:after="0" w:line="26" w:lineRule="atLeast"/>
        <w:jc w:val="both"/>
        <w:rPr>
          <w:rFonts w:ascii="Arial" w:hAnsi="Arial" w:cs="Arial"/>
        </w:rPr>
      </w:pPr>
      <w:r w:rsidRPr="00366D0D">
        <w:rPr>
          <w:rFonts w:ascii="Arial" w:hAnsi="Arial" w:cs="Arial"/>
        </w:rPr>
        <w:t xml:space="preserve">PREFEITURA MUNICIPAL DE SÃO JOSÉ DOS CAMPOS (PMSJC), 2012. </w:t>
      </w:r>
      <w:r w:rsidRPr="00366D0D">
        <w:rPr>
          <w:rFonts w:ascii="Arial" w:hAnsi="Arial" w:cs="Arial"/>
          <w:b/>
        </w:rPr>
        <w:t>Atlas das Condições de Vida em São José dos Campos.</w:t>
      </w:r>
      <w:r w:rsidRPr="00366D0D">
        <w:rPr>
          <w:rFonts w:ascii="Arial" w:hAnsi="Arial" w:cs="Arial"/>
        </w:rPr>
        <w:t xml:space="preserve"> Coord.: Carmo, R. L.</w:t>
      </w:r>
    </w:p>
    <w:p w:rsidR="007540DD" w:rsidRPr="00366D0D" w:rsidRDefault="007540DD" w:rsidP="00893914">
      <w:pPr>
        <w:spacing w:after="0" w:line="26" w:lineRule="atLeast"/>
        <w:jc w:val="both"/>
        <w:rPr>
          <w:rFonts w:ascii="Times New Roman" w:hAnsi="Times New Roman" w:cs="Times New Roman"/>
          <w:sz w:val="24"/>
          <w:szCs w:val="24"/>
        </w:rPr>
      </w:pPr>
    </w:p>
    <w:p w:rsidR="00893914" w:rsidRPr="00366D0D" w:rsidRDefault="00893914" w:rsidP="00893914">
      <w:pPr>
        <w:spacing w:after="0" w:line="26" w:lineRule="atLeast"/>
        <w:jc w:val="both"/>
        <w:rPr>
          <w:rFonts w:ascii="Arial" w:hAnsi="Arial" w:cs="Arial"/>
        </w:rPr>
      </w:pPr>
      <w:r w:rsidRPr="00366D0D">
        <w:rPr>
          <w:rFonts w:ascii="Arial" w:hAnsi="Arial" w:cs="Arial"/>
        </w:rPr>
        <w:t xml:space="preserve">RESCHILIAN, P.R. </w:t>
      </w:r>
      <w:r w:rsidRPr="00366D0D">
        <w:rPr>
          <w:rFonts w:ascii="Arial" w:hAnsi="Arial" w:cs="Arial"/>
          <w:b/>
        </w:rPr>
        <w:t>Habitação e ordenamento territorial: A dinâmica socioespacial do processo de inclusão precária em São José dos Campos (SP).</w:t>
      </w:r>
      <w:r w:rsidRPr="00366D0D">
        <w:rPr>
          <w:rFonts w:ascii="Arial" w:hAnsi="Arial" w:cs="Arial"/>
        </w:rPr>
        <w:t>COSTA, S. M. F.; MELLO, L. F. (Org.). Crescimento Urbano e Industrialização em São José dos Campos. 2010.</w:t>
      </w:r>
    </w:p>
    <w:p w:rsidR="00893914" w:rsidRPr="00366D0D" w:rsidRDefault="00893914" w:rsidP="00893914">
      <w:pPr>
        <w:spacing w:after="0" w:line="26" w:lineRule="atLeast"/>
        <w:jc w:val="both"/>
        <w:rPr>
          <w:rFonts w:ascii="Arial" w:hAnsi="Arial" w:cs="Arial"/>
        </w:rPr>
      </w:pPr>
    </w:p>
    <w:p w:rsidR="0020779D" w:rsidRPr="00366D0D" w:rsidRDefault="0020779D" w:rsidP="0020779D">
      <w:pPr>
        <w:spacing w:after="0" w:line="240" w:lineRule="auto"/>
        <w:jc w:val="both"/>
        <w:rPr>
          <w:rFonts w:ascii="Arial" w:hAnsi="Arial" w:cs="Arial"/>
        </w:rPr>
      </w:pPr>
      <w:r w:rsidRPr="00366D0D">
        <w:rPr>
          <w:rFonts w:ascii="Arial" w:hAnsi="Arial" w:cs="Arial"/>
        </w:rPr>
        <w:t xml:space="preserve">ROLNIK, R. </w:t>
      </w:r>
      <w:r w:rsidRPr="00366D0D">
        <w:rPr>
          <w:rFonts w:ascii="Arial" w:hAnsi="Arial" w:cs="Arial"/>
          <w:b/>
        </w:rPr>
        <w:t>Exclusão Territorial e Violência.</w:t>
      </w:r>
      <w:r w:rsidRPr="00366D0D">
        <w:rPr>
          <w:rFonts w:ascii="Arial" w:hAnsi="Arial" w:cs="Arial"/>
        </w:rPr>
        <w:t xml:space="preserve"> São Paulo em Perspectiva, 13(4), 1999. Disponível em:http://www.scielo.br/pdf/spp/v13n4/v13n4a10.pdf </w:t>
      </w:r>
    </w:p>
    <w:p w:rsidR="0020779D" w:rsidRPr="00366D0D" w:rsidRDefault="0020779D" w:rsidP="00893914">
      <w:pPr>
        <w:spacing w:after="0" w:line="26" w:lineRule="atLeast"/>
        <w:jc w:val="both"/>
        <w:rPr>
          <w:rFonts w:ascii="Arial" w:hAnsi="Arial" w:cs="Arial"/>
        </w:rPr>
      </w:pPr>
    </w:p>
    <w:p w:rsidR="00893914" w:rsidRPr="00366D0D" w:rsidRDefault="00893914" w:rsidP="00893914">
      <w:pPr>
        <w:spacing w:after="0" w:line="26" w:lineRule="atLeast"/>
        <w:jc w:val="both"/>
        <w:rPr>
          <w:rFonts w:ascii="Arial" w:hAnsi="Arial" w:cs="Arial"/>
        </w:rPr>
      </w:pPr>
      <w:r w:rsidRPr="00366D0D">
        <w:rPr>
          <w:rFonts w:ascii="Arial" w:hAnsi="Arial" w:cs="Arial"/>
        </w:rPr>
        <w:t xml:space="preserve">TOMINAGA, L. K.; SANTORO, J.; AMARAL, R. </w:t>
      </w:r>
      <w:r w:rsidRPr="00366D0D">
        <w:rPr>
          <w:rFonts w:ascii="Arial" w:hAnsi="Arial" w:cs="Arial"/>
          <w:b/>
        </w:rPr>
        <w:t>Desastres naturais: conhecer para prevenir.</w:t>
      </w:r>
      <w:r w:rsidRPr="00366D0D">
        <w:rPr>
          <w:rFonts w:ascii="Arial" w:hAnsi="Arial" w:cs="Arial"/>
        </w:rPr>
        <w:t xml:space="preserve"> São Paulo: Instituto Geológico, 2009. 196 p. Disponível em: http://www.igeologico.sp.gov.br/downloads/livros/DesastresNaturais.pdf ISBN 978-85-87235-09-1  </w:t>
      </w:r>
    </w:p>
    <w:p w:rsidR="00893914" w:rsidRPr="00366D0D" w:rsidRDefault="00893914" w:rsidP="00893914">
      <w:pPr>
        <w:spacing w:after="0" w:line="26" w:lineRule="atLeast"/>
        <w:ind w:right="45"/>
        <w:jc w:val="both"/>
        <w:rPr>
          <w:rFonts w:ascii="Arial" w:hAnsi="Arial" w:cs="Arial"/>
        </w:rPr>
      </w:pPr>
    </w:p>
    <w:p w:rsidR="00893914" w:rsidRPr="005B15D9" w:rsidRDefault="00834276" w:rsidP="00893914">
      <w:pPr>
        <w:spacing w:after="0" w:line="26" w:lineRule="atLeast"/>
        <w:ind w:right="45"/>
        <w:jc w:val="both"/>
        <w:rPr>
          <w:rFonts w:ascii="Arial" w:hAnsi="Arial" w:cs="Arial"/>
        </w:rPr>
      </w:pPr>
      <w:r w:rsidRPr="00366D0D">
        <w:rPr>
          <w:rFonts w:ascii="Arial" w:hAnsi="Arial" w:cs="Arial"/>
        </w:rPr>
        <w:t>VALERIO FILHO, M.; MENDES, R.M.; FARIA, D.G.M.; FANTINI, M.; BERTOLDO, M.A.; MELO, F.N.; SILVA, M.F.; CUNHA, R.P.</w:t>
      </w:r>
      <w:r w:rsidR="00893914" w:rsidRPr="00366D0D">
        <w:rPr>
          <w:rFonts w:ascii="Arial" w:hAnsi="Arial" w:cs="Arial"/>
          <w:b/>
        </w:rPr>
        <w:t>Mapeamento das áreas de risco associados a escorregamentos de encostas no município de São Jose dos Campos - SP.</w:t>
      </w:r>
      <w:r w:rsidR="00893914" w:rsidRPr="00366D0D">
        <w:rPr>
          <w:rFonts w:ascii="Arial" w:hAnsi="Arial" w:cs="Arial"/>
        </w:rPr>
        <w:t xml:space="preserve"> Relatório Técnico Final, Convenio UNIVAP/PMSJC, Processo N</w:t>
      </w:r>
      <w:r w:rsidR="00893914" w:rsidRPr="00366D0D">
        <w:rPr>
          <w:rFonts w:ascii="Arial" w:hAnsi="Arial" w:cs="Arial"/>
        </w:rPr>
        <w:sym w:font="Symbol" w:char="F0B0"/>
      </w:r>
      <w:r w:rsidR="00893914" w:rsidRPr="00366D0D">
        <w:rPr>
          <w:rFonts w:ascii="Arial" w:hAnsi="Arial" w:cs="Arial"/>
        </w:rPr>
        <w:t xml:space="preserve"> 53.366/2013, São Jose dos Campos, 60p+anexos, 2014.</w:t>
      </w:r>
    </w:p>
    <w:p w:rsidR="00893914" w:rsidRPr="005B15D9" w:rsidRDefault="00893914" w:rsidP="00893914">
      <w:pPr>
        <w:widowControl w:val="0"/>
        <w:spacing w:line="26" w:lineRule="atLeast"/>
        <w:jc w:val="both"/>
        <w:rPr>
          <w:rFonts w:ascii="Arial" w:hAnsi="Arial" w:cs="Arial"/>
          <w:szCs w:val="24"/>
        </w:rPr>
      </w:pPr>
    </w:p>
    <w:p w:rsidR="00893914" w:rsidRPr="005B15D9" w:rsidRDefault="00893914" w:rsidP="00893914">
      <w:pPr>
        <w:spacing w:line="26" w:lineRule="atLeast"/>
        <w:jc w:val="both"/>
        <w:rPr>
          <w:rFonts w:ascii="Arial" w:hAnsi="Arial" w:cs="Arial"/>
        </w:rPr>
      </w:pPr>
    </w:p>
    <w:p w:rsidR="00893914" w:rsidRPr="005B15D9" w:rsidRDefault="00893914"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jc w:val="both"/>
        <w:rPr>
          <w:rFonts w:ascii="Arial" w:eastAsia="Times New Roman" w:hAnsi="Arial" w:cs="Arial"/>
          <w:sz w:val="23"/>
          <w:szCs w:val="23"/>
        </w:rPr>
      </w:pPr>
    </w:p>
    <w:p w:rsidR="00893914" w:rsidRDefault="00893914"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Default="00BC3C89" w:rsidP="00893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 w:lineRule="atLeast"/>
        <w:rPr>
          <w:rFonts w:ascii="Arial" w:eastAsia="Times New Roman" w:hAnsi="Arial" w:cs="Arial"/>
          <w:sz w:val="23"/>
          <w:szCs w:val="23"/>
        </w:rPr>
      </w:pPr>
    </w:p>
    <w:p w:rsidR="00BC3C89" w:rsidRPr="00F64BB5" w:rsidRDefault="00BC3C89" w:rsidP="00F64BB5">
      <w:pPr>
        <w:pStyle w:val="NormalWeb"/>
        <w:jc w:val="both"/>
        <w:rPr>
          <w:b/>
          <w:color w:val="000000"/>
          <w:sz w:val="27"/>
          <w:szCs w:val="27"/>
          <w:u w:val="single"/>
        </w:rPr>
      </w:pPr>
      <w:r w:rsidRPr="00F64BB5">
        <w:rPr>
          <w:b/>
          <w:color w:val="000000"/>
          <w:sz w:val="27"/>
          <w:szCs w:val="27"/>
          <w:u w:val="single"/>
        </w:rPr>
        <w:lastRenderedPageBreak/>
        <w:t>Sugestões.</w:t>
      </w:r>
    </w:p>
    <w:p w:rsidR="00BC3C89" w:rsidRDefault="00BC3C89" w:rsidP="00F64BB5">
      <w:pPr>
        <w:pStyle w:val="NormalWeb"/>
        <w:jc w:val="both"/>
        <w:rPr>
          <w:color w:val="000000"/>
          <w:sz w:val="27"/>
          <w:szCs w:val="27"/>
        </w:rPr>
      </w:pPr>
      <w:r>
        <w:rPr>
          <w:color w:val="000000"/>
          <w:sz w:val="27"/>
          <w:szCs w:val="27"/>
        </w:rPr>
        <w:t>• Desenvolver mais a parte teórica do texto, buscando mais bibliografias que explorem o tema.</w:t>
      </w:r>
    </w:p>
    <w:p w:rsidR="00BC3C89" w:rsidRDefault="00BC3C89" w:rsidP="00F64BB5">
      <w:pPr>
        <w:pStyle w:val="NormalWeb"/>
        <w:jc w:val="both"/>
        <w:rPr>
          <w:color w:val="000000"/>
          <w:sz w:val="27"/>
          <w:szCs w:val="27"/>
        </w:rPr>
      </w:pPr>
      <w:r>
        <w:rPr>
          <w:color w:val="000000"/>
          <w:sz w:val="27"/>
          <w:szCs w:val="27"/>
        </w:rPr>
        <w:t>• Desenvolver mais a parte do capital no que se refere ao valor dos lotes e os custos de vida da população vigente.</w:t>
      </w:r>
    </w:p>
    <w:p w:rsidR="00BC3C89" w:rsidRDefault="00BC3C89" w:rsidP="00F64BB5">
      <w:pPr>
        <w:pStyle w:val="NormalWeb"/>
        <w:jc w:val="both"/>
        <w:rPr>
          <w:color w:val="000000"/>
          <w:sz w:val="27"/>
          <w:szCs w:val="27"/>
        </w:rPr>
      </w:pPr>
      <w:r>
        <w:rPr>
          <w:color w:val="000000"/>
          <w:sz w:val="27"/>
          <w:szCs w:val="27"/>
        </w:rPr>
        <w:t>• Aplicar um cruzamento utilizando os mapas de declividade, as áreas de risco e os valores médios de renda e outros dados presentes no censo demográfico e facilmente obtidos no formato Shape file.</w:t>
      </w:r>
    </w:p>
    <w:p w:rsidR="00BC3C89" w:rsidRDefault="00BC3C89" w:rsidP="00F64BB5">
      <w:pPr>
        <w:pStyle w:val="NormalWeb"/>
        <w:jc w:val="both"/>
        <w:rPr>
          <w:color w:val="000000"/>
          <w:sz w:val="27"/>
          <w:szCs w:val="27"/>
        </w:rPr>
      </w:pPr>
      <w:r>
        <w:rPr>
          <w:color w:val="000000"/>
          <w:sz w:val="27"/>
          <w:szCs w:val="27"/>
        </w:rPr>
        <w:t>Desta forma teremos, na minha opinião um texto e um trabalho mais coeso.</w:t>
      </w:r>
    </w:p>
    <w:p w:rsidR="00F64BB5" w:rsidRPr="00BC3C89" w:rsidRDefault="00F64BB5" w:rsidP="00F64BB5">
      <w:pPr>
        <w:pStyle w:val="NormalWeb"/>
        <w:jc w:val="both"/>
        <w:rPr>
          <w:b/>
          <w:color w:val="000000"/>
          <w:sz w:val="27"/>
          <w:szCs w:val="27"/>
        </w:rPr>
      </w:pPr>
      <w:r w:rsidRPr="00F64BB5">
        <w:rPr>
          <w:b/>
          <w:color w:val="000000"/>
          <w:sz w:val="27"/>
          <w:szCs w:val="27"/>
          <w:u w:val="single"/>
        </w:rPr>
        <w:t>Resposta ao corretor:</w:t>
      </w:r>
      <w:r w:rsidRPr="00BC3C89">
        <w:rPr>
          <w:b/>
          <w:color w:val="000000"/>
          <w:sz w:val="27"/>
          <w:szCs w:val="27"/>
        </w:rPr>
        <w:t xml:space="preserve"> Como proposto pelo corretor, buscou-se utilizar mais bibliografias no artigo.</w:t>
      </w:r>
      <w:r>
        <w:rPr>
          <w:b/>
          <w:color w:val="000000"/>
          <w:sz w:val="27"/>
          <w:szCs w:val="27"/>
        </w:rPr>
        <w:t xml:space="preserve"> As demais sugestões estão em desacordo com os objetivos do trabalho, por isso, não haveria a necessidade de alteração.</w:t>
      </w:r>
    </w:p>
    <w:p w:rsidR="00893914" w:rsidRPr="005B15D9" w:rsidRDefault="00893914" w:rsidP="00893914">
      <w:pPr>
        <w:spacing w:line="26" w:lineRule="atLeast"/>
        <w:rPr>
          <w:rFonts w:ascii="Arial" w:hAnsi="Arial" w:cs="Arial"/>
        </w:rPr>
      </w:pPr>
    </w:p>
    <w:p w:rsidR="00576B91" w:rsidRPr="005B15D9" w:rsidRDefault="00576B91" w:rsidP="00576B91">
      <w:pPr>
        <w:spacing w:line="312" w:lineRule="auto"/>
        <w:ind w:firstLine="708"/>
        <w:rPr>
          <w:rFonts w:ascii="Arial" w:hAnsi="Arial" w:cs="Arial"/>
        </w:rPr>
      </w:pPr>
    </w:p>
    <w:sectPr w:rsidR="00576B91" w:rsidRPr="005B15D9" w:rsidSect="008C6CCD">
      <w:foot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1EE" w:rsidRDefault="003931EE" w:rsidP="002B7390">
      <w:pPr>
        <w:spacing w:after="0" w:line="240" w:lineRule="auto"/>
      </w:pPr>
      <w:r>
        <w:separator/>
      </w:r>
    </w:p>
  </w:endnote>
  <w:endnote w:type="continuationSeparator" w:id="1">
    <w:p w:rsidR="003931EE" w:rsidRDefault="003931EE" w:rsidP="002B73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390" w:rsidRDefault="002B7390">
    <w:pPr>
      <w:pStyle w:val="Rodap"/>
    </w:pPr>
  </w:p>
  <w:p w:rsidR="002B7390" w:rsidRDefault="002B739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1EE" w:rsidRDefault="003931EE" w:rsidP="002B7390">
      <w:pPr>
        <w:spacing w:after="0" w:line="240" w:lineRule="auto"/>
      </w:pPr>
      <w:r>
        <w:separator/>
      </w:r>
    </w:p>
  </w:footnote>
  <w:footnote w:type="continuationSeparator" w:id="1">
    <w:p w:rsidR="003931EE" w:rsidRDefault="003931EE" w:rsidP="002B73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805D2"/>
    <w:multiLevelType w:val="hybridMultilevel"/>
    <w:tmpl w:val="9A065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775F4C54"/>
    <w:multiLevelType w:val="hybridMultilevel"/>
    <w:tmpl w:val="5C940796"/>
    <w:lvl w:ilvl="0" w:tplc="E07A63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B7390"/>
    <w:rsid w:val="00003D37"/>
    <w:rsid w:val="00023FFB"/>
    <w:rsid w:val="000332C6"/>
    <w:rsid w:val="00044CEA"/>
    <w:rsid w:val="00061CDD"/>
    <w:rsid w:val="0007512F"/>
    <w:rsid w:val="00082D67"/>
    <w:rsid w:val="000962BA"/>
    <w:rsid w:val="000C7892"/>
    <w:rsid w:val="000F08A0"/>
    <w:rsid w:val="000F1D82"/>
    <w:rsid w:val="000F655C"/>
    <w:rsid w:val="00105EE9"/>
    <w:rsid w:val="00107574"/>
    <w:rsid w:val="001117CE"/>
    <w:rsid w:val="00114EBF"/>
    <w:rsid w:val="001225DE"/>
    <w:rsid w:val="00141485"/>
    <w:rsid w:val="0015351B"/>
    <w:rsid w:val="00162243"/>
    <w:rsid w:val="00163F90"/>
    <w:rsid w:val="00175AF1"/>
    <w:rsid w:val="001956BC"/>
    <w:rsid w:val="001A2928"/>
    <w:rsid w:val="001B1957"/>
    <w:rsid w:val="001C1F5D"/>
    <w:rsid w:val="001C2243"/>
    <w:rsid w:val="001C5BA0"/>
    <w:rsid w:val="001E327F"/>
    <w:rsid w:val="001E57DB"/>
    <w:rsid w:val="001E7F9F"/>
    <w:rsid w:val="002002EF"/>
    <w:rsid w:val="0020185D"/>
    <w:rsid w:val="0020779D"/>
    <w:rsid w:val="00222466"/>
    <w:rsid w:val="00222A2B"/>
    <w:rsid w:val="00225412"/>
    <w:rsid w:val="00233B94"/>
    <w:rsid w:val="00247728"/>
    <w:rsid w:val="00275912"/>
    <w:rsid w:val="0028427C"/>
    <w:rsid w:val="00291685"/>
    <w:rsid w:val="0029325D"/>
    <w:rsid w:val="002A224A"/>
    <w:rsid w:val="002A36EE"/>
    <w:rsid w:val="002A5BDC"/>
    <w:rsid w:val="002B689F"/>
    <w:rsid w:val="002B7390"/>
    <w:rsid w:val="002D2334"/>
    <w:rsid w:val="002D2C58"/>
    <w:rsid w:val="002F5E71"/>
    <w:rsid w:val="00310661"/>
    <w:rsid w:val="003178C1"/>
    <w:rsid w:val="003230EB"/>
    <w:rsid w:val="00323519"/>
    <w:rsid w:val="003349ED"/>
    <w:rsid w:val="00336E86"/>
    <w:rsid w:val="00353190"/>
    <w:rsid w:val="00366D0D"/>
    <w:rsid w:val="00371155"/>
    <w:rsid w:val="003722AC"/>
    <w:rsid w:val="003931EE"/>
    <w:rsid w:val="003A2851"/>
    <w:rsid w:val="003B623B"/>
    <w:rsid w:val="003C06AA"/>
    <w:rsid w:val="003C27B4"/>
    <w:rsid w:val="003D4573"/>
    <w:rsid w:val="003E202E"/>
    <w:rsid w:val="003E2D64"/>
    <w:rsid w:val="003E350D"/>
    <w:rsid w:val="003F2FF0"/>
    <w:rsid w:val="003F3331"/>
    <w:rsid w:val="00405402"/>
    <w:rsid w:val="0041666D"/>
    <w:rsid w:val="004439E1"/>
    <w:rsid w:val="004479D7"/>
    <w:rsid w:val="00463F8B"/>
    <w:rsid w:val="0047168F"/>
    <w:rsid w:val="0048281D"/>
    <w:rsid w:val="00485388"/>
    <w:rsid w:val="0048797E"/>
    <w:rsid w:val="004B3C7B"/>
    <w:rsid w:val="004C273A"/>
    <w:rsid w:val="004D1294"/>
    <w:rsid w:val="004D26ED"/>
    <w:rsid w:val="004D5486"/>
    <w:rsid w:val="004E61FA"/>
    <w:rsid w:val="004E703B"/>
    <w:rsid w:val="0051487F"/>
    <w:rsid w:val="00516C50"/>
    <w:rsid w:val="00520F96"/>
    <w:rsid w:val="00525451"/>
    <w:rsid w:val="00543845"/>
    <w:rsid w:val="00553C62"/>
    <w:rsid w:val="0056181D"/>
    <w:rsid w:val="00573071"/>
    <w:rsid w:val="00574215"/>
    <w:rsid w:val="00576B91"/>
    <w:rsid w:val="00585056"/>
    <w:rsid w:val="005A37EF"/>
    <w:rsid w:val="005A7C8F"/>
    <w:rsid w:val="005B15D9"/>
    <w:rsid w:val="005C01FF"/>
    <w:rsid w:val="005F1505"/>
    <w:rsid w:val="005F1DC0"/>
    <w:rsid w:val="005F7C02"/>
    <w:rsid w:val="00601A65"/>
    <w:rsid w:val="006147F8"/>
    <w:rsid w:val="0062151C"/>
    <w:rsid w:val="00622EB6"/>
    <w:rsid w:val="0063241E"/>
    <w:rsid w:val="006573C1"/>
    <w:rsid w:val="006A408D"/>
    <w:rsid w:val="006A5D31"/>
    <w:rsid w:val="006A6DC2"/>
    <w:rsid w:val="006C4808"/>
    <w:rsid w:val="006D6273"/>
    <w:rsid w:val="006D65B8"/>
    <w:rsid w:val="006F5D9A"/>
    <w:rsid w:val="0071429D"/>
    <w:rsid w:val="00716C35"/>
    <w:rsid w:val="00746291"/>
    <w:rsid w:val="00753F1A"/>
    <w:rsid w:val="007540DD"/>
    <w:rsid w:val="00755BFA"/>
    <w:rsid w:val="00766F11"/>
    <w:rsid w:val="00775832"/>
    <w:rsid w:val="00777210"/>
    <w:rsid w:val="007A5836"/>
    <w:rsid w:val="007B25EC"/>
    <w:rsid w:val="007B710D"/>
    <w:rsid w:val="007D59B5"/>
    <w:rsid w:val="007D6E2A"/>
    <w:rsid w:val="007E1FB1"/>
    <w:rsid w:val="00803922"/>
    <w:rsid w:val="00820162"/>
    <w:rsid w:val="00833FBC"/>
    <w:rsid w:val="00834276"/>
    <w:rsid w:val="00842444"/>
    <w:rsid w:val="008519EF"/>
    <w:rsid w:val="00854197"/>
    <w:rsid w:val="00863243"/>
    <w:rsid w:val="008649C5"/>
    <w:rsid w:val="00877F06"/>
    <w:rsid w:val="00893914"/>
    <w:rsid w:val="00894F7E"/>
    <w:rsid w:val="008C00D9"/>
    <w:rsid w:val="008C3220"/>
    <w:rsid w:val="008C6CCD"/>
    <w:rsid w:val="008E24E1"/>
    <w:rsid w:val="00916FCC"/>
    <w:rsid w:val="00927946"/>
    <w:rsid w:val="00956000"/>
    <w:rsid w:val="00961587"/>
    <w:rsid w:val="009638C6"/>
    <w:rsid w:val="009801F4"/>
    <w:rsid w:val="00980D90"/>
    <w:rsid w:val="009B1661"/>
    <w:rsid w:val="009C0059"/>
    <w:rsid w:val="00A03F74"/>
    <w:rsid w:val="00A04B46"/>
    <w:rsid w:val="00A230B3"/>
    <w:rsid w:val="00A45678"/>
    <w:rsid w:val="00A47C44"/>
    <w:rsid w:val="00A50A17"/>
    <w:rsid w:val="00A5139B"/>
    <w:rsid w:val="00A7061E"/>
    <w:rsid w:val="00A825D5"/>
    <w:rsid w:val="00AB043A"/>
    <w:rsid w:val="00AB424B"/>
    <w:rsid w:val="00AB56FE"/>
    <w:rsid w:val="00AD502E"/>
    <w:rsid w:val="00AD6876"/>
    <w:rsid w:val="00AD7DA0"/>
    <w:rsid w:val="00AE0033"/>
    <w:rsid w:val="00AF1317"/>
    <w:rsid w:val="00AF501B"/>
    <w:rsid w:val="00B3221E"/>
    <w:rsid w:val="00B40966"/>
    <w:rsid w:val="00B4265C"/>
    <w:rsid w:val="00B46FE8"/>
    <w:rsid w:val="00B65308"/>
    <w:rsid w:val="00B8031D"/>
    <w:rsid w:val="00B81630"/>
    <w:rsid w:val="00B84450"/>
    <w:rsid w:val="00B95356"/>
    <w:rsid w:val="00B96065"/>
    <w:rsid w:val="00BC3C89"/>
    <w:rsid w:val="00BD3352"/>
    <w:rsid w:val="00BE1641"/>
    <w:rsid w:val="00BF4DC4"/>
    <w:rsid w:val="00BF7448"/>
    <w:rsid w:val="00C20BED"/>
    <w:rsid w:val="00C35826"/>
    <w:rsid w:val="00C42055"/>
    <w:rsid w:val="00C52CEA"/>
    <w:rsid w:val="00C55048"/>
    <w:rsid w:val="00C641C8"/>
    <w:rsid w:val="00C66701"/>
    <w:rsid w:val="00C92828"/>
    <w:rsid w:val="00CA09B2"/>
    <w:rsid w:val="00CC557F"/>
    <w:rsid w:val="00CD027D"/>
    <w:rsid w:val="00CE0435"/>
    <w:rsid w:val="00CE14F3"/>
    <w:rsid w:val="00CE17B6"/>
    <w:rsid w:val="00CF2D49"/>
    <w:rsid w:val="00D0556E"/>
    <w:rsid w:val="00D06E63"/>
    <w:rsid w:val="00D214D5"/>
    <w:rsid w:val="00D57B67"/>
    <w:rsid w:val="00D976DF"/>
    <w:rsid w:val="00DA0114"/>
    <w:rsid w:val="00DA5CF0"/>
    <w:rsid w:val="00DA7E45"/>
    <w:rsid w:val="00DB6617"/>
    <w:rsid w:val="00DC6850"/>
    <w:rsid w:val="00DD0EAA"/>
    <w:rsid w:val="00DE3923"/>
    <w:rsid w:val="00DE51C8"/>
    <w:rsid w:val="00DF3F09"/>
    <w:rsid w:val="00DF464A"/>
    <w:rsid w:val="00E167B1"/>
    <w:rsid w:val="00E2184D"/>
    <w:rsid w:val="00E25679"/>
    <w:rsid w:val="00E47BF3"/>
    <w:rsid w:val="00E60B30"/>
    <w:rsid w:val="00EB4638"/>
    <w:rsid w:val="00EB65AF"/>
    <w:rsid w:val="00ED1660"/>
    <w:rsid w:val="00EF6684"/>
    <w:rsid w:val="00F02BCC"/>
    <w:rsid w:val="00F03FBE"/>
    <w:rsid w:val="00F0441B"/>
    <w:rsid w:val="00F1072A"/>
    <w:rsid w:val="00F15ADC"/>
    <w:rsid w:val="00F2378A"/>
    <w:rsid w:val="00F37321"/>
    <w:rsid w:val="00F457D3"/>
    <w:rsid w:val="00F5661E"/>
    <w:rsid w:val="00F56F2B"/>
    <w:rsid w:val="00F64BB5"/>
    <w:rsid w:val="00F67200"/>
    <w:rsid w:val="00FB5B50"/>
    <w:rsid w:val="00FE086B"/>
    <w:rsid w:val="00FE2DA5"/>
    <w:rsid w:val="00FE7F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87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basedOn w:val="Fontepargpadro"/>
    <w:rsid w:val="002B7390"/>
  </w:style>
  <w:style w:type="paragraph" w:styleId="Rodap">
    <w:name w:val="footer"/>
    <w:basedOn w:val="Normal"/>
    <w:link w:val="RodapChar"/>
    <w:uiPriority w:val="99"/>
    <w:unhideWhenUsed/>
    <w:rsid w:val="002B7390"/>
    <w:pPr>
      <w:tabs>
        <w:tab w:val="center" w:pos="4252"/>
        <w:tab w:val="right" w:pos="8504"/>
      </w:tabs>
      <w:spacing w:after="0" w:line="240" w:lineRule="auto"/>
    </w:pPr>
  </w:style>
  <w:style w:type="character" w:customStyle="1" w:styleId="RodapChar">
    <w:name w:val="Rodapé Char"/>
    <w:basedOn w:val="Fontepargpadro"/>
    <w:link w:val="Rodap"/>
    <w:uiPriority w:val="99"/>
    <w:rsid w:val="002B7390"/>
    <w:rPr>
      <w:rFonts w:eastAsiaTheme="minorEastAsia"/>
      <w:lang w:eastAsia="pt-BR"/>
    </w:rPr>
  </w:style>
  <w:style w:type="paragraph" w:styleId="Textodenotaderodap">
    <w:name w:val="footnote text"/>
    <w:basedOn w:val="Normal"/>
    <w:link w:val="TextodenotaderodapChar"/>
    <w:uiPriority w:val="99"/>
    <w:semiHidden/>
    <w:unhideWhenUsed/>
    <w:rsid w:val="002B739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B7390"/>
    <w:rPr>
      <w:rFonts w:eastAsiaTheme="minorEastAsia"/>
      <w:sz w:val="20"/>
      <w:szCs w:val="20"/>
      <w:lang w:eastAsia="pt-BR"/>
    </w:rPr>
  </w:style>
  <w:style w:type="character" w:styleId="Refdenotaderodap">
    <w:name w:val="footnote reference"/>
    <w:basedOn w:val="Fontepargpadro"/>
    <w:uiPriority w:val="99"/>
    <w:semiHidden/>
    <w:unhideWhenUsed/>
    <w:rsid w:val="002B7390"/>
    <w:rPr>
      <w:vertAlign w:val="superscript"/>
    </w:rPr>
  </w:style>
  <w:style w:type="character" w:styleId="Hyperlink">
    <w:name w:val="Hyperlink"/>
    <w:basedOn w:val="Fontepargpadro"/>
    <w:uiPriority w:val="99"/>
    <w:unhideWhenUsed/>
    <w:rsid w:val="002B7390"/>
    <w:rPr>
      <w:color w:val="0000FF" w:themeColor="hyperlink"/>
      <w:u w:val="single"/>
    </w:rPr>
  </w:style>
  <w:style w:type="paragraph" w:styleId="PargrafodaLista">
    <w:name w:val="List Paragraph"/>
    <w:basedOn w:val="Normal"/>
    <w:uiPriority w:val="34"/>
    <w:qFormat/>
    <w:rsid w:val="002B7390"/>
    <w:pPr>
      <w:ind w:left="720"/>
      <w:contextualSpacing/>
    </w:pPr>
  </w:style>
  <w:style w:type="character" w:styleId="Refdecomentrio">
    <w:name w:val="annotation reference"/>
    <w:basedOn w:val="Fontepargpadro"/>
    <w:uiPriority w:val="99"/>
    <w:semiHidden/>
    <w:unhideWhenUsed/>
    <w:rsid w:val="002B7390"/>
    <w:rPr>
      <w:sz w:val="16"/>
      <w:szCs w:val="16"/>
    </w:rPr>
  </w:style>
  <w:style w:type="paragraph" w:styleId="Textodecomentrio">
    <w:name w:val="annotation text"/>
    <w:basedOn w:val="Normal"/>
    <w:link w:val="TextodecomentrioChar"/>
    <w:uiPriority w:val="99"/>
    <w:semiHidden/>
    <w:unhideWhenUsed/>
    <w:rsid w:val="002B73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B7390"/>
    <w:rPr>
      <w:rFonts w:eastAsiaTheme="minorEastAsia"/>
      <w:sz w:val="20"/>
      <w:szCs w:val="20"/>
      <w:lang w:eastAsia="pt-BR"/>
    </w:rPr>
  </w:style>
  <w:style w:type="paragraph" w:styleId="Textodebalo">
    <w:name w:val="Balloon Text"/>
    <w:basedOn w:val="Normal"/>
    <w:link w:val="TextodebaloChar"/>
    <w:uiPriority w:val="99"/>
    <w:semiHidden/>
    <w:unhideWhenUsed/>
    <w:rsid w:val="002B73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7390"/>
    <w:rPr>
      <w:rFonts w:ascii="Tahoma" w:eastAsiaTheme="minorEastAsia" w:hAnsi="Tahoma" w:cs="Tahoma"/>
      <w:sz w:val="16"/>
      <w:szCs w:val="16"/>
      <w:lang w:eastAsia="pt-BR"/>
    </w:rPr>
  </w:style>
  <w:style w:type="paragraph" w:customStyle="1" w:styleId="PargrafodaLista1">
    <w:name w:val="Parágrafo da Lista1"/>
    <w:basedOn w:val="Normal"/>
    <w:uiPriority w:val="99"/>
    <w:qFormat/>
    <w:rsid w:val="002B7390"/>
    <w:pPr>
      <w:spacing w:after="160" w:line="259" w:lineRule="auto"/>
      <w:ind w:left="720"/>
    </w:pPr>
    <w:rPr>
      <w:rFonts w:ascii="Calibri" w:eastAsia="Calibri" w:hAnsi="Calibri" w:cs="Calibri"/>
    </w:rPr>
  </w:style>
  <w:style w:type="table" w:styleId="Tabelacomgrade">
    <w:name w:val="Table Grid"/>
    <w:basedOn w:val="Tabelanormal"/>
    <w:uiPriority w:val="59"/>
    <w:rsid w:val="002B73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6A6DC2"/>
    <w:rPr>
      <w:b/>
      <w:bCs/>
    </w:rPr>
  </w:style>
  <w:style w:type="character" w:customStyle="1" w:styleId="AssuntodocomentrioChar">
    <w:name w:val="Assunto do comentário Char"/>
    <w:basedOn w:val="TextodecomentrioChar"/>
    <w:link w:val="Assuntodocomentrio"/>
    <w:uiPriority w:val="99"/>
    <w:semiHidden/>
    <w:rsid w:val="006A6DC2"/>
    <w:rPr>
      <w:rFonts w:eastAsiaTheme="minorEastAsia"/>
      <w:b/>
      <w:bCs/>
      <w:sz w:val="20"/>
      <w:szCs w:val="20"/>
      <w:lang w:eastAsia="pt-BR"/>
    </w:rPr>
  </w:style>
  <w:style w:type="paragraph" w:customStyle="1" w:styleId="ecxmsonormal">
    <w:name w:val="ecxmsonormal"/>
    <w:basedOn w:val="Normal"/>
    <w:rsid w:val="00044C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044CEA"/>
  </w:style>
  <w:style w:type="paragraph" w:styleId="NormalWeb">
    <w:name w:val="Normal (Web)"/>
    <w:basedOn w:val="Normal"/>
    <w:uiPriority w:val="99"/>
    <w:semiHidden/>
    <w:unhideWhenUsed/>
    <w:rsid w:val="00BC3C8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basedOn w:val="Fontepargpadro"/>
    <w:rsid w:val="002B7390"/>
  </w:style>
  <w:style w:type="paragraph" w:styleId="Rodap">
    <w:name w:val="footer"/>
    <w:basedOn w:val="Normal"/>
    <w:link w:val="RodapChar"/>
    <w:uiPriority w:val="99"/>
    <w:unhideWhenUsed/>
    <w:rsid w:val="002B7390"/>
    <w:pPr>
      <w:tabs>
        <w:tab w:val="center" w:pos="4252"/>
        <w:tab w:val="right" w:pos="8504"/>
      </w:tabs>
      <w:spacing w:after="0" w:line="240" w:lineRule="auto"/>
    </w:pPr>
  </w:style>
  <w:style w:type="character" w:customStyle="1" w:styleId="RodapChar">
    <w:name w:val="Rodapé Char"/>
    <w:basedOn w:val="Fontepargpadro"/>
    <w:link w:val="Rodap"/>
    <w:uiPriority w:val="99"/>
    <w:rsid w:val="002B7390"/>
    <w:rPr>
      <w:rFonts w:eastAsiaTheme="minorEastAsia"/>
      <w:lang w:eastAsia="pt-BR"/>
    </w:rPr>
  </w:style>
  <w:style w:type="paragraph" w:styleId="Textodenotaderodap">
    <w:name w:val="footnote text"/>
    <w:basedOn w:val="Normal"/>
    <w:link w:val="TextodenotaderodapChar"/>
    <w:uiPriority w:val="99"/>
    <w:semiHidden/>
    <w:unhideWhenUsed/>
    <w:rsid w:val="002B739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B7390"/>
    <w:rPr>
      <w:rFonts w:eastAsiaTheme="minorEastAsia"/>
      <w:sz w:val="20"/>
      <w:szCs w:val="20"/>
      <w:lang w:eastAsia="pt-BR"/>
    </w:rPr>
  </w:style>
  <w:style w:type="character" w:styleId="Refdenotaderodap">
    <w:name w:val="footnote reference"/>
    <w:basedOn w:val="Fontepargpadro"/>
    <w:uiPriority w:val="99"/>
    <w:semiHidden/>
    <w:unhideWhenUsed/>
    <w:rsid w:val="002B7390"/>
    <w:rPr>
      <w:vertAlign w:val="superscript"/>
    </w:rPr>
  </w:style>
  <w:style w:type="character" w:styleId="Hyperlink">
    <w:name w:val="Hyperlink"/>
    <w:basedOn w:val="Fontepargpadro"/>
    <w:uiPriority w:val="99"/>
    <w:unhideWhenUsed/>
    <w:rsid w:val="002B7390"/>
    <w:rPr>
      <w:color w:val="0000FF" w:themeColor="hyperlink"/>
      <w:u w:val="single"/>
    </w:rPr>
  </w:style>
  <w:style w:type="paragraph" w:styleId="PargrafodaLista">
    <w:name w:val="List Paragraph"/>
    <w:basedOn w:val="Normal"/>
    <w:uiPriority w:val="34"/>
    <w:qFormat/>
    <w:rsid w:val="002B7390"/>
    <w:pPr>
      <w:ind w:left="720"/>
      <w:contextualSpacing/>
    </w:pPr>
  </w:style>
  <w:style w:type="character" w:styleId="Refdecomentrio">
    <w:name w:val="annotation reference"/>
    <w:basedOn w:val="Fontepargpadro"/>
    <w:uiPriority w:val="99"/>
    <w:semiHidden/>
    <w:unhideWhenUsed/>
    <w:rsid w:val="002B7390"/>
    <w:rPr>
      <w:sz w:val="16"/>
      <w:szCs w:val="16"/>
    </w:rPr>
  </w:style>
  <w:style w:type="paragraph" w:styleId="Textodecomentrio">
    <w:name w:val="annotation text"/>
    <w:basedOn w:val="Normal"/>
    <w:link w:val="TextodecomentrioChar"/>
    <w:uiPriority w:val="99"/>
    <w:semiHidden/>
    <w:unhideWhenUsed/>
    <w:rsid w:val="002B73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B7390"/>
    <w:rPr>
      <w:rFonts w:eastAsiaTheme="minorEastAsia"/>
      <w:sz w:val="20"/>
      <w:szCs w:val="20"/>
      <w:lang w:eastAsia="pt-BR"/>
    </w:rPr>
  </w:style>
  <w:style w:type="paragraph" w:styleId="Textodebalo">
    <w:name w:val="Balloon Text"/>
    <w:basedOn w:val="Normal"/>
    <w:link w:val="TextodebaloChar"/>
    <w:uiPriority w:val="99"/>
    <w:semiHidden/>
    <w:unhideWhenUsed/>
    <w:rsid w:val="002B73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7390"/>
    <w:rPr>
      <w:rFonts w:ascii="Tahoma" w:eastAsiaTheme="minorEastAsia" w:hAnsi="Tahoma" w:cs="Tahoma"/>
      <w:sz w:val="16"/>
      <w:szCs w:val="16"/>
      <w:lang w:eastAsia="pt-BR"/>
    </w:rPr>
  </w:style>
  <w:style w:type="paragraph" w:customStyle="1" w:styleId="PargrafodaLista1">
    <w:name w:val="Parágrafo da Lista1"/>
    <w:basedOn w:val="Normal"/>
    <w:uiPriority w:val="99"/>
    <w:qFormat/>
    <w:rsid w:val="002B7390"/>
    <w:pPr>
      <w:spacing w:after="160" w:line="259" w:lineRule="auto"/>
      <w:ind w:left="720"/>
    </w:pPr>
    <w:rPr>
      <w:rFonts w:ascii="Calibri" w:eastAsia="Calibri" w:hAnsi="Calibri" w:cs="Calibri"/>
    </w:rPr>
  </w:style>
  <w:style w:type="table" w:styleId="Tabelacomgrade">
    <w:name w:val="Table Grid"/>
    <w:basedOn w:val="Tabelanormal"/>
    <w:uiPriority w:val="59"/>
    <w:rsid w:val="002B73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suntodocomentrio">
    <w:name w:val="annotation subject"/>
    <w:basedOn w:val="Textodecomentrio"/>
    <w:next w:val="Textodecomentrio"/>
    <w:link w:val="AssuntodocomentrioChar"/>
    <w:uiPriority w:val="99"/>
    <w:semiHidden/>
    <w:unhideWhenUsed/>
    <w:rsid w:val="006A6DC2"/>
    <w:rPr>
      <w:b/>
      <w:bCs/>
    </w:rPr>
  </w:style>
  <w:style w:type="character" w:customStyle="1" w:styleId="AssuntodocomentrioChar">
    <w:name w:val="Assunto do comentário Char"/>
    <w:basedOn w:val="TextodecomentrioChar"/>
    <w:link w:val="Assuntodocomentrio"/>
    <w:uiPriority w:val="99"/>
    <w:semiHidden/>
    <w:rsid w:val="006A6DC2"/>
    <w:rPr>
      <w:rFonts w:eastAsiaTheme="minorEastAsia"/>
      <w:b/>
      <w:bCs/>
      <w:sz w:val="20"/>
      <w:szCs w:val="20"/>
      <w:lang w:eastAsia="pt-BR"/>
    </w:rPr>
  </w:style>
  <w:style w:type="paragraph" w:customStyle="1" w:styleId="ecxmsonormal">
    <w:name w:val="ecxmsonormal"/>
    <w:basedOn w:val="Normal"/>
    <w:rsid w:val="00044C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044CEA"/>
  </w:style>
</w:styles>
</file>

<file path=word/webSettings.xml><?xml version="1.0" encoding="utf-8"?>
<w:webSettings xmlns:r="http://schemas.openxmlformats.org/officeDocument/2006/relationships" xmlns:w="http://schemas.openxmlformats.org/wordprocessingml/2006/main">
  <w:divs>
    <w:div w:id="278804544">
      <w:bodyDiv w:val="1"/>
      <w:marLeft w:val="0"/>
      <w:marRight w:val="0"/>
      <w:marTop w:val="0"/>
      <w:marBottom w:val="0"/>
      <w:divBdr>
        <w:top w:val="none" w:sz="0" w:space="0" w:color="auto"/>
        <w:left w:val="none" w:sz="0" w:space="0" w:color="auto"/>
        <w:bottom w:val="none" w:sz="0" w:space="0" w:color="auto"/>
        <w:right w:val="none" w:sz="0" w:space="0" w:color="auto"/>
      </w:divBdr>
    </w:div>
    <w:div w:id="390692724">
      <w:bodyDiv w:val="1"/>
      <w:marLeft w:val="0"/>
      <w:marRight w:val="0"/>
      <w:marTop w:val="0"/>
      <w:marBottom w:val="0"/>
      <w:divBdr>
        <w:top w:val="none" w:sz="0" w:space="0" w:color="auto"/>
        <w:left w:val="none" w:sz="0" w:space="0" w:color="auto"/>
        <w:bottom w:val="none" w:sz="0" w:space="0" w:color="auto"/>
        <w:right w:val="none" w:sz="0" w:space="0" w:color="auto"/>
      </w:divBdr>
    </w:div>
    <w:div w:id="1051422035">
      <w:bodyDiv w:val="1"/>
      <w:marLeft w:val="0"/>
      <w:marRight w:val="0"/>
      <w:marTop w:val="0"/>
      <w:marBottom w:val="0"/>
      <w:divBdr>
        <w:top w:val="none" w:sz="0" w:space="0" w:color="auto"/>
        <w:left w:val="none" w:sz="0" w:space="0" w:color="auto"/>
        <w:bottom w:val="none" w:sz="0" w:space="0" w:color="auto"/>
        <w:right w:val="none" w:sz="0" w:space="0" w:color="auto"/>
      </w:divBdr>
    </w:div>
    <w:div w:id="1884125184">
      <w:bodyDiv w:val="1"/>
      <w:marLeft w:val="0"/>
      <w:marRight w:val="0"/>
      <w:marTop w:val="0"/>
      <w:marBottom w:val="0"/>
      <w:divBdr>
        <w:top w:val="none" w:sz="0" w:space="0" w:color="auto"/>
        <w:left w:val="none" w:sz="0" w:space="0" w:color="auto"/>
        <w:bottom w:val="none" w:sz="0" w:space="0" w:color="auto"/>
        <w:right w:val="none" w:sz="0" w:space="0" w:color="auto"/>
      </w:divBdr>
    </w:div>
    <w:div w:id="1919242957">
      <w:bodyDiv w:val="1"/>
      <w:marLeft w:val="0"/>
      <w:marRight w:val="0"/>
      <w:marTop w:val="0"/>
      <w:marBottom w:val="0"/>
      <w:divBdr>
        <w:top w:val="none" w:sz="0" w:space="0" w:color="auto"/>
        <w:left w:val="none" w:sz="0" w:space="0" w:color="auto"/>
        <w:bottom w:val="none" w:sz="0" w:space="0" w:color="auto"/>
        <w:right w:val="none" w:sz="0" w:space="0" w:color="auto"/>
      </w:divBdr>
    </w:div>
    <w:div w:id="1963268739">
      <w:bodyDiv w:val="1"/>
      <w:marLeft w:val="0"/>
      <w:marRight w:val="0"/>
      <w:marTop w:val="0"/>
      <w:marBottom w:val="0"/>
      <w:divBdr>
        <w:top w:val="none" w:sz="0" w:space="0" w:color="auto"/>
        <w:left w:val="none" w:sz="0" w:space="0" w:color="auto"/>
        <w:bottom w:val="none" w:sz="0" w:space="0" w:color="auto"/>
        <w:right w:val="none" w:sz="0" w:space="0" w:color="auto"/>
      </w:divBdr>
    </w:div>
    <w:div w:id="1967738874">
      <w:bodyDiv w:val="1"/>
      <w:marLeft w:val="0"/>
      <w:marRight w:val="0"/>
      <w:marTop w:val="0"/>
      <w:marBottom w:val="0"/>
      <w:divBdr>
        <w:top w:val="none" w:sz="0" w:space="0" w:color="auto"/>
        <w:left w:val="none" w:sz="0" w:space="0" w:color="auto"/>
        <w:bottom w:val="none" w:sz="0" w:space="0" w:color="auto"/>
        <w:right w:val="none" w:sz="0" w:space="0" w:color="auto"/>
      </w:divBdr>
    </w:div>
    <w:div w:id="206178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32511-8B46-4D16-B8C0-E19A42B2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3783</Words>
  <Characters>20434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Freitas</dc:creator>
  <cp:lastModifiedBy>David Freitas</cp:lastModifiedBy>
  <cp:revision>14</cp:revision>
  <dcterms:created xsi:type="dcterms:W3CDTF">2016-06-23T14:37:00Z</dcterms:created>
  <dcterms:modified xsi:type="dcterms:W3CDTF">2016-06-30T20:42:00Z</dcterms:modified>
</cp:coreProperties>
</file>