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B80FB" w14:textId="77777777" w:rsidR="004B77F4" w:rsidRDefault="004B77F4" w:rsidP="00FB6249">
      <w:pPr>
        <w:spacing w:after="120" w:line="26" w:lineRule="atLeast"/>
        <w:jc w:val="center"/>
        <w:rPr>
          <w:rFonts w:ascii="Arial" w:hAnsi="Arial" w:cs="Arial"/>
          <w:b/>
        </w:rPr>
      </w:pPr>
      <w:bookmarkStart w:id="0" w:name="_Toc452986930"/>
      <w:bookmarkStart w:id="1" w:name="_GoBack"/>
      <w:bookmarkEnd w:id="1"/>
      <w:r w:rsidRPr="00FB6249">
        <w:rPr>
          <w:rFonts w:ascii="Arial" w:hAnsi="Arial" w:cs="Arial"/>
          <w:b/>
        </w:rPr>
        <w:t>PREVALÊNCIA E FATORES ASSOCIADOS À ANEMIA FERR</w:t>
      </w:r>
      <w:r w:rsidR="00E26333">
        <w:rPr>
          <w:rFonts w:ascii="Arial" w:hAnsi="Arial" w:cs="Arial"/>
          <w:b/>
        </w:rPr>
        <w:t xml:space="preserve">OPRIVA EM IDOSOS NO BRASIL: UMA </w:t>
      </w:r>
      <w:r w:rsidRPr="00FB6249">
        <w:rPr>
          <w:rFonts w:ascii="Arial" w:hAnsi="Arial" w:cs="Arial"/>
          <w:b/>
        </w:rPr>
        <w:t>REVISÃO.</w:t>
      </w:r>
    </w:p>
    <w:p w14:paraId="7B9017B0" w14:textId="77777777" w:rsidR="005D3A13" w:rsidRPr="009012EC" w:rsidRDefault="009012EC" w:rsidP="00FB6249">
      <w:pPr>
        <w:spacing w:after="120" w:line="26" w:lineRule="atLeast"/>
        <w:jc w:val="center"/>
        <w:rPr>
          <w:rFonts w:ascii="Arial" w:hAnsi="Arial" w:cs="Arial"/>
          <w:b/>
          <w:lang w:val="en-US"/>
        </w:rPr>
      </w:pPr>
      <w:r w:rsidRPr="009012EC">
        <w:rPr>
          <w:rFonts w:ascii="Arial" w:hAnsi="Arial" w:cs="Arial"/>
          <w:b/>
          <w:lang w:val="en-US"/>
        </w:rPr>
        <w:t>PREVAL</w:t>
      </w:r>
      <w:r>
        <w:rPr>
          <w:rFonts w:ascii="Arial" w:hAnsi="Arial" w:cs="Arial"/>
          <w:b/>
          <w:lang w:val="en-US"/>
        </w:rPr>
        <w:t>ENCE AND FACTORS ASSOCIATED TO</w:t>
      </w:r>
      <w:r w:rsidRPr="009012EC">
        <w:rPr>
          <w:rFonts w:ascii="Arial" w:hAnsi="Arial" w:cs="Arial"/>
          <w:b/>
          <w:lang w:val="en-US"/>
        </w:rPr>
        <w:t xml:space="preserve"> ANEMIA FERROPR</w:t>
      </w:r>
      <w:r w:rsidR="00951F0A">
        <w:rPr>
          <w:rFonts w:ascii="Arial" w:hAnsi="Arial" w:cs="Arial"/>
          <w:b/>
          <w:lang w:val="en-US"/>
        </w:rPr>
        <w:t>IVA IN ELDERLY IN BRAZIL: A</w:t>
      </w:r>
      <w:r w:rsidRPr="009012EC">
        <w:rPr>
          <w:rFonts w:ascii="Arial" w:hAnsi="Arial" w:cs="Arial"/>
          <w:b/>
          <w:lang w:val="en-US"/>
        </w:rPr>
        <w:t xml:space="preserve"> REVIEW.</w:t>
      </w:r>
    </w:p>
    <w:p w14:paraId="61E9BA8A" w14:textId="77777777" w:rsidR="00F22499" w:rsidRPr="009012EC" w:rsidRDefault="00F22499" w:rsidP="00FB6249">
      <w:pPr>
        <w:spacing w:after="120" w:line="26" w:lineRule="atLeast"/>
        <w:rPr>
          <w:rFonts w:ascii="Arial" w:hAnsi="Arial" w:cs="Arial"/>
          <w:b/>
          <w:lang w:val="en-US"/>
        </w:rPr>
      </w:pPr>
    </w:p>
    <w:p w14:paraId="5EA626DC" w14:textId="77777777" w:rsidR="006B7B22" w:rsidRPr="00C737BD" w:rsidRDefault="006B7B22" w:rsidP="00FB6249">
      <w:pPr>
        <w:spacing w:after="120" w:line="26" w:lineRule="atLeast"/>
        <w:rPr>
          <w:rFonts w:ascii="Arial" w:hAnsi="Arial" w:cs="Arial"/>
          <w:b/>
          <w:sz w:val="18"/>
          <w:szCs w:val="18"/>
        </w:rPr>
      </w:pPr>
      <w:r w:rsidRPr="009012EC">
        <w:rPr>
          <w:rFonts w:ascii="Arial" w:hAnsi="Arial" w:cs="Arial"/>
          <w:b/>
          <w:sz w:val="18"/>
          <w:szCs w:val="18"/>
        </w:rPr>
        <w:t>RESUMO</w:t>
      </w:r>
    </w:p>
    <w:p w14:paraId="272DA0E3" w14:textId="22369938" w:rsidR="009726BC" w:rsidRPr="00714F1F" w:rsidRDefault="00E97C88" w:rsidP="00443069">
      <w:pPr>
        <w:spacing w:line="26" w:lineRule="atLeast"/>
        <w:jc w:val="both"/>
        <w:rPr>
          <w:rFonts w:ascii="Arial" w:hAnsi="Arial" w:cs="Arial"/>
          <w:sz w:val="18"/>
          <w:szCs w:val="18"/>
        </w:rPr>
      </w:pPr>
      <w:r w:rsidRPr="00714F1F">
        <w:rPr>
          <w:rFonts w:ascii="Arial" w:hAnsi="Arial" w:cs="Arial"/>
          <w:sz w:val="18"/>
          <w:szCs w:val="18"/>
        </w:rPr>
        <w:t xml:space="preserve">Introdução: </w:t>
      </w:r>
      <w:r w:rsidR="001D7F2E">
        <w:rPr>
          <w:rFonts w:ascii="Arial" w:hAnsi="Arial" w:cs="Arial"/>
          <w:sz w:val="18"/>
          <w:szCs w:val="18"/>
        </w:rPr>
        <w:t>O aumento da população idosa no Brasil</w:t>
      </w:r>
      <w:r w:rsidR="00990754">
        <w:rPr>
          <w:rFonts w:ascii="Arial" w:hAnsi="Arial" w:cs="Arial"/>
          <w:sz w:val="18"/>
          <w:szCs w:val="18"/>
        </w:rPr>
        <w:t xml:space="preserve"> </w:t>
      </w:r>
      <w:r w:rsidR="00504A91" w:rsidRPr="00714F1F">
        <w:rPr>
          <w:rFonts w:ascii="Arial" w:hAnsi="Arial" w:cs="Arial"/>
          <w:sz w:val="18"/>
          <w:szCs w:val="18"/>
        </w:rPr>
        <w:t>refletiu em maior atenção por</w:t>
      </w:r>
      <w:r w:rsidR="009012EC" w:rsidRPr="00714F1F">
        <w:rPr>
          <w:rFonts w:ascii="Arial" w:hAnsi="Arial" w:cs="Arial"/>
          <w:sz w:val="18"/>
          <w:szCs w:val="18"/>
        </w:rPr>
        <w:t xml:space="preserve"> parte dos profissionais</w:t>
      </w:r>
      <w:r w:rsidR="00504A91" w:rsidRPr="00714F1F">
        <w:rPr>
          <w:rFonts w:ascii="Arial" w:hAnsi="Arial" w:cs="Arial"/>
          <w:sz w:val="18"/>
          <w:szCs w:val="18"/>
        </w:rPr>
        <w:t xml:space="preserve"> da saúde </w:t>
      </w:r>
      <w:r w:rsidR="00613177" w:rsidRPr="00714F1F">
        <w:rPr>
          <w:rFonts w:ascii="Arial" w:hAnsi="Arial" w:cs="Arial"/>
          <w:sz w:val="18"/>
          <w:szCs w:val="18"/>
        </w:rPr>
        <w:t>quanto</w:t>
      </w:r>
      <w:r w:rsidR="001D7F2E">
        <w:rPr>
          <w:rFonts w:ascii="Arial" w:hAnsi="Arial" w:cs="Arial"/>
          <w:sz w:val="18"/>
          <w:szCs w:val="18"/>
        </w:rPr>
        <w:t xml:space="preserve"> à anemia ferropriva, que pode </w:t>
      </w:r>
      <w:r w:rsidR="001D7F2E" w:rsidRPr="00B11A78">
        <w:rPr>
          <w:rFonts w:ascii="Arial" w:hAnsi="Arial" w:cs="Arial"/>
          <w:sz w:val="18"/>
          <w:szCs w:val="18"/>
        </w:rPr>
        <w:t>ser influenciada por</w:t>
      </w:r>
      <w:r w:rsidR="00504A91" w:rsidRPr="00B11A78">
        <w:rPr>
          <w:rFonts w:ascii="Arial" w:hAnsi="Arial" w:cs="Arial"/>
          <w:sz w:val="18"/>
          <w:szCs w:val="18"/>
        </w:rPr>
        <w:t xml:space="preserve"> questões financeiras, psicológicas, familiares e </w:t>
      </w:r>
      <w:r w:rsidR="001D7F2E" w:rsidRPr="00B11A78">
        <w:rPr>
          <w:rFonts w:ascii="Arial" w:hAnsi="Arial" w:cs="Arial"/>
          <w:sz w:val="18"/>
          <w:szCs w:val="18"/>
        </w:rPr>
        <w:t>pel</w:t>
      </w:r>
      <w:r w:rsidR="00504A91" w:rsidRPr="00B11A78">
        <w:rPr>
          <w:rFonts w:ascii="Arial" w:hAnsi="Arial" w:cs="Arial"/>
          <w:sz w:val="18"/>
          <w:szCs w:val="18"/>
        </w:rPr>
        <w:t xml:space="preserve">o comportamento alimentar no </w:t>
      </w:r>
      <w:r w:rsidR="001D7F2E" w:rsidRPr="00B11A78">
        <w:rPr>
          <w:rFonts w:ascii="Arial" w:hAnsi="Arial" w:cs="Arial"/>
          <w:sz w:val="18"/>
          <w:szCs w:val="18"/>
        </w:rPr>
        <w:t>que se</w:t>
      </w:r>
      <w:r w:rsidR="00B11A78" w:rsidRPr="00B11A78">
        <w:rPr>
          <w:rFonts w:ascii="Arial" w:hAnsi="Arial" w:cs="Arial"/>
          <w:sz w:val="18"/>
          <w:szCs w:val="18"/>
        </w:rPr>
        <w:t xml:space="preserve"> refere ao </w:t>
      </w:r>
      <w:r w:rsidR="00504A91" w:rsidRPr="00B11A78">
        <w:rPr>
          <w:rFonts w:ascii="Arial" w:hAnsi="Arial" w:cs="Arial"/>
          <w:sz w:val="18"/>
          <w:szCs w:val="18"/>
        </w:rPr>
        <w:t>suprimento adequado de ferro para atender às necessidades fisiológicas e nutricionais.</w:t>
      </w:r>
      <w:r w:rsidR="00990754">
        <w:rPr>
          <w:rFonts w:ascii="Arial" w:hAnsi="Arial" w:cs="Arial"/>
          <w:sz w:val="18"/>
          <w:szCs w:val="18"/>
        </w:rPr>
        <w:t xml:space="preserve"> </w:t>
      </w:r>
      <w:r w:rsidRPr="00B11A78">
        <w:rPr>
          <w:rFonts w:ascii="Arial" w:hAnsi="Arial" w:cs="Arial"/>
          <w:sz w:val="18"/>
          <w:szCs w:val="18"/>
        </w:rPr>
        <w:t>Objetivos: A</w:t>
      </w:r>
      <w:r w:rsidR="000E7FC8" w:rsidRPr="00B11A78">
        <w:rPr>
          <w:rFonts w:ascii="Arial" w:hAnsi="Arial" w:cs="Arial"/>
          <w:sz w:val="18"/>
          <w:szCs w:val="18"/>
        </w:rPr>
        <w:t>valiar a prevalência e fatores associados à anemia ferropriva em idosos no Brasil</w:t>
      </w:r>
      <w:r w:rsidR="00D02B7A" w:rsidRPr="00B11A78">
        <w:rPr>
          <w:rFonts w:ascii="Arial" w:hAnsi="Arial" w:cs="Arial"/>
          <w:sz w:val="18"/>
          <w:szCs w:val="18"/>
        </w:rPr>
        <w:t xml:space="preserve">. </w:t>
      </w:r>
      <w:r w:rsidRPr="00B11A78">
        <w:rPr>
          <w:rFonts w:ascii="Arial" w:hAnsi="Arial" w:cs="Arial"/>
          <w:sz w:val="18"/>
          <w:szCs w:val="18"/>
        </w:rPr>
        <w:t>Metodologia: Foram utilizadas as bases de dados</w:t>
      </w:r>
      <w:r w:rsidR="00990754">
        <w:rPr>
          <w:rFonts w:ascii="Arial" w:hAnsi="Arial" w:cs="Arial"/>
          <w:sz w:val="18"/>
          <w:szCs w:val="18"/>
        </w:rPr>
        <w:t xml:space="preserve"> </w:t>
      </w:r>
      <w:r w:rsidRPr="00B11A78">
        <w:rPr>
          <w:rFonts w:ascii="Arial" w:hAnsi="Arial" w:cs="Arial"/>
          <w:sz w:val="18"/>
          <w:szCs w:val="18"/>
        </w:rPr>
        <w:t>SciELO (</w:t>
      </w:r>
      <w:r w:rsidRPr="000C374F">
        <w:rPr>
          <w:rFonts w:ascii="Arial" w:hAnsi="Arial" w:cs="Arial"/>
          <w:i/>
          <w:sz w:val="18"/>
          <w:szCs w:val="18"/>
        </w:rPr>
        <w:t>Scientific</w:t>
      </w:r>
      <w:r w:rsidRPr="00AE5326">
        <w:rPr>
          <w:rFonts w:ascii="Arial" w:hAnsi="Arial" w:cs="Arial"/>
          <w:i/>
          <w:sz w:val="18"/>
          <w:szCs w:val="18"/>
        </w:rPr>
        <w:t xml:space="preserve"> Eletronic Library Online</w:t>
      </w:r>
      <w:r w:rsidRPr="00B11A78">
        <w:rPr>
          <w:rFonts w:ascii="Arial" w:hAnsi="Arial" w:cs="Arial"/>
          <w:sz w:val="18"/>
          <w:szCs w:val="18"/>
        </w:rPr>
        <w:t>), Google Acadêmico e Portal CAPES, sendo considerados apenas artigos nacionais que avaliaram o consumo de ferro ou fizeram análise bioquímica de hemoglobina. Resultados e discussão:</w:t>
      </w:r>
      <w:r w:rsidR="00990754">
        <w:rPr>
          <w:rFonts w:ascii="Arial" w:hAnsi="Arial" w:cs="Arial"/>
          <w:sz w:val="18"/>
          <w:szCs w:val="18"/>
        </w:rPr>
        <w:t xml:space="preserve"> </w:t>
      </w:r>
      <w:r w:rsidRPr="000307A3">
        <w:rPr>
          <w:rFonts w:ascii="Arial" w:hAnsi="Arial" w:cs="Arial"/>
          <w:sz w:val="18"/>
          <w:szCs w:val="18"/>
        </w:rPr>
        <w:t>Foram identificados 15 estudos com idosos atendidos ambulatoriamente, hospi</w:t>
      </w:r>
      <w:r w:rsidR="001C304D" w:rsidRPr="000307A3">
        <w:rPr>
          <w:rFonts w:ascii="Arial" w:hAnsi="Arial" w:cs="Arial"/>
          <w:sz w:val="18"/>
          <w:szCs w:val="18"/>
        </w:rPr>
        <w:t>talizados e institucionalizados, englobando quatro regiões do país (exceto</w:t>
      </w:r>
      <w:r w:rsidR="009012EC" w:rsidRPr="000307A3">
        <w:rPr>
          <w:rFonts w:ascii="Arial" w:hAnsi="Arial" w:cs="Arial"/>
          <w:sz w:val="18"/>
          <w:szCs w:val="18"/>
        </w:rPr>
        <w:t xml:space="preserve"> a região</w:t>
      </w:r>
      <w:r w:rsidR="001C304D" w:rsidRPr="000307A3">
        <w:rPr>
          <w:rFonts w:ascii="Arial" w:hAnsi="Arial" w:cs="Arial"/>
          <w:sz w:val="18"/>
          <w:szCs w:val="18"/>
        </w:rPr>
        <w:t xml:space="preserve"> norte), com um total de 7551 participantes. </w:t>
      </w:r>
      <w:r w:rsidR="001C304D" w:rsidRPr="00B11A78">
        <w:rPr>
          <w:rFonts w:ascii="Arial" w:hAnsi="Arial" w:cs="Arial"/>
          <w:sz w:val="18"/>
          <w:szCs w:val="18"/>
        </w:rPr>
        <w:t>Os níveis de hemoglobina</w:t>
      </w:r>
      <w:r w:rsidR="009012EC" w:rsidRPr="00B11A78">
        <w:rPr>
          <w:rFonts w:ascii="Arial" w:hAnsi="Arial" w:cs="Arial"/>
          <w:sz w:val="18"/>
          <w:szCs w:val="18"/>
        </w:rPr>
        <w:t xml:space="preserve"> e a prevalência de anemia</w:t>
      </w:r>
      <w:r w:rsidR="001C304D" w:rsidRPr="00B11A78">
        <w:rPr>
          <w:rFonts w:ascii="Arial" w:hAnsi="Arial" w:cs="Arial"/>
          <w:sz w:val="18"/>
          <w:szCs w:val="18"/>
        </w:rPr>
        <w:t xml:space="preserve"> apresentaram relaç</w:t>
      </w:r>
      <w:r w:rsidR="009012EC" w:rsidRPr="00B11A78">
        <w:rPr>
          <w:rFonts w:ascii="Arial" w:hAnsi="Arial" w:cs="Arial"/>
          <w:sz w:val="18"/>
          <w:szCs w:val="18"/>
        </w:rPr>
        <w:t xml:space="preserve">ão </w:t>
      </w:r>
      <w:r w:rsidR="001C304D" w:rsidRPr="00B11A78">
        <w:rPr>
          <w:rFonts w:ascii="Arial" w:hAnsi="Arial" w:cs="Arial"/>
          <w:sz w:val="18"/>
          <w:szCs w:val="18"/>
        </w:rPr>
        <w:t>com</w:t>
      </w:r>
      <w:r w:rsidR="009012EC" w:rsidRPr="00B11A78">
        <w:rPr>
          <w:rFonts w:ascii="Arial" w:hAnsi="Arial" w:cs="Arial"/>
          <w:sz w:val="18"/>
          <w:szCs w:val="18"/>
        </w:rPr>
        <w:t xml:space="preserve"> variáveis como</w:t>
      </w:r>
      <w:r w:rsidR="00990754">
        <w:rPr>
          <w:rFonts w:ascii="Arial" w:hAnsi="Arial" w:cs="Arial"/>
          <w:sz w:val="18"/>
          <w:szCs w:val="18"/>
        </w:rPr>
        <w:t xml:space="preserve"> </w:t>
      </w:r>
      <w:r w:rsidR="009C4DCB" w:rsidRPr="00B11A78">
        <w:rPr>
          <w:rFonts w:ascii="Arial" w:hAnsi="Arial" w:cs="Arial"/>
          <w:sz w:val="18"/>
          <w:szCs w:val="18"/>
        </w:rPr>
        <w:t>o sex</w:t>
      </w:r>
      <w:r w:rsidR="009012EC" w:rsidRPr="00B11A78">
        <w:rPr>
          <w:rFonts w:ascii="Arial" w:hAnsi="Arial" w:cs="Arial"/>
          <w:sz w:val="18"/>
          <w:szCs w:val="18"/>
        </w:rPr>
        <w:t xml:space="preserve">o, a escolaridade, </w:t>
      </w:r>
      <w:r w:rsidR="001C304D" w:rsidRPr="00B11A78">
        <w:rPr>
          <w:rFonts w:ascii="Arial" w:hAnsi="Arial" w:cs="Arial"/>
          <w:sz w:val="18"/>
          <w:szCs w:val="18"/>
        </w:rPr>
        <w:t>a idade e a renda mensal.</w:t>
      </w:r>
      <w:r w:rsidR="00161BB4" w:rsidRPr="00B11A78">
        <w:rPr>
          <w:rFonts w:ascii="Arial" w:hAnsi="Arial" w:cs="Arial"/>
          <w:sz w:val="18"/>
          <w:szCs w:val="18"/>
        </w:rPr>
        <w:t xml:space="preserve"> De acordo com os estudos, a institucionalização requer intervenções para corrigir ou prevenir déficits nutricionais, como a medição dos níveis de hemoglobina, visto a anemia como marcador de risco de declínio</w:t>
      </w:r>
      <w:r w:rsidR="00161BB4" w:rsidRPr="00714F1F">
        <w:rPr>
          <w:rFonts w:ascii="Arial" w:hAnsi="Arial" w:cs="Arial"/>
          <w:sz w:val="18"/>
          <w:szCs w:val="18"/>
        </w:rPr>
        <w:t xml:space="preserve"> funcional, além do maior risco de polifarmácia. Conclusão: Os estudos </w:t>
      </w:r>
      <w:r w:rsidR="0075098B" w:rsidRPr="00714F1F">
        <w:rPr>
          <w:rFonts w:ascii="Arial" w:hAnsi="Arial" w:cs="Arial"/>
          <w:sz w:val="18"/>
          <w:szCs w:val="18"/>
        </w:rPr>
        <w:t>mostraram alta</w:t>
      </w:r>
      <w:r w:rsidR="00654AFC" w:rsidRPr="00714F1F">
        <w:rPr>
          <w:rFonts w:ascii="Arial" w:hAnsi="Arial" w:cs="Arial"/>
          <w:sz w:val="18"/>
          <w:szCs w:val="18"/>
        </w:rPr>
        <w:t xml:space="preserve"> prevalência de anemia e </w:t>
      </w:r>
      <w:r w:rsidR="00161BB4" w:rsidRPr="00714F1F">
        <w:rPr>
          <w:rFonts w:ascii="Arial" w:hAnsi="Arial" w:cs="Arial"/>
          <w:sz w:val="18"/>
          <w:szCs w:val="18"/>
        </w:rPr>
        <w:t xml:space="preserve">fatores que contribuem para </w:t>
      </w:r>
      <w:r w:rsidR="00654AFC" w:rsidRPr="00714F1F">
        <w:rPr>
          <w:rFonts w:ascii="Arial" w:hAnsi="Arial" w:cs="Arial"/>
          <w:sz w:val="18"/>
          <w:szCs w:val="18"/>
        </w:rPr>
        <w:t xml:space="preserve">seu </w:t>
      </w:r>
      <w:r w:rsidR="00161BB4" w:rsidRPr="00714F1F">
        <w:rPr>
          <w:rFonts w:ascii="Arial" w:hAnsi="Arial" w:cs="Arial"/>
          <w:sz w:val="18"/>
          <w:szCs w:val="18"/>
        </w:rPr>
        <w:t>desenvolvimento e a manutenç</w:t>
      </w:r>
      <w:r w:rsidR="0075098B" w:rsidRPr="00714F1F">
        <w:rPr>
          <w:rFonts w:ascii="Arial" w:hAnsi="Arial" w:cs="Arial"/>
          <w:sz w:val="18"/>
          <w:szCs w:val="18"/>
        </w:rPr>
        <w:t>ão, tais como ingestão insuficiente</w:t>
      </w:r>
      <w:r w:rsidR="009726BC" w:rsidRPr="00714F1F">
        <w:rPr>
          <w:rFonts w:ascii="Arial" w:hAnsi="Arial" w:cs="Arial"/>
          <w:sz w:val="18"/>
          <w:szCs w:val="18"/>
        </w:rPr>
        <w:t>.</w:t>
      </w:r>
      <w:r w:rsidR="0075098B" w:rsidRPr="00714F1F">
        <w:rPr>
          <w:rFonts w:ascii="Arial" w:hAnsi="Arial" w:cs="Arial"/>
          <w:sz w:val="18"/>
          <w:szCs w:val="18"/>
        </w:rPr>
        <w:t xml:space="preserve"> De tal forma, apesar das políticas públicas vigentes, observa-se a persistência da anemia nesse grupo vulnerável.</w:t>
      </w:r>
    </w:p>
    <w:p w14:paraId="1C81EB93" w14:textId="77777777" w:rsidR="00022A6C" w:rsidRDefault="00022A6C" w:rsidP="00FB6249">
      <w:pPr>
        <w:spacing w:after="120" w:line="26" w:lineRule="atLeast"/>
        <w:rPr>
          <w:rFonts w:ascii="Arial" w:hAnsi="Arial" w:cs="Arial"/>
          <w:b/>
          <w:sz w:val="18"/>
          <w:szCs w:val="18"/>
        </w:rPr>
      </w:pPr>
      <w:r>
        <w:rPr>
          <w:rFonts w:ascii="Arial" w:hAnsi="Arial" w:cs="Arial"/>
          <w:b/>
          <w:sz w:val="18"/>
          <w:szCs w:val="18"/>
        </w:rPr>
        <w:t>Palavras-chave:</w:t>
      </w:r>
      <w:r w:rsidR="00990754">
        <w:rPr>
          <w:rFonts w:ascii="Arial" w:hAnsi="Arial" w:cs="Arial"/>
          <w:b/>
          <w:sz w:val="18"/>
          <w:szCs w:val="18"/>
        </w:rPr>
        <w:t xml:space="preserve"> </w:t>
      </w:r>
      <w:r w:rsidR="00137DB8" w:rsidRPr="00714F1F">
        <w:rPr>
          <w:rFonts w:ascii="Arial" w:hAnsi="Arial" w:cs="Arial"/>
          <w:sz w:val="18"/>
          <w:szCs w:val="18"/>
        </w:rPr>
        <w:t xml:space="preserve">Anemia Ferropriva; </w:t>
      </w:r>
      <w:r w:rsidR="005F33B6" w:rsidRPr="00714F1F">
        <w:rPr>
          <w:rFonts w:ascii="Arial" w:hAnsi="Arial" w:cs="Arial"/>
          <w:sz w:val="18"/>
          <w:szCs w:val="18"/>
        </w:rPr>
        <w:t>G</w:t>
      </w:r>
      <w:r w:rsidR="008C4FB6" w:rsidRPr="00714F1F">
        <w:rPr>
          <w:rFonts w:ascii="Arial" w:hAnsi="Arial" w:cs="Arial"/>
          <w:sz w:val="18"/>
          <w:szCs w:val="18"/>
        </w:rPr>
        <w:t>eriatria;</w:t>
      </w:r>
      <w:r w:rsidR="00990754">
        <w:rPr>
          <w:rFonts w:ascii="Arial" w:hAnsi="Arial" w:cs="Arial"/>
          <w:sz w:val="18"/>
          <w:szCs w:val="18"/>
        </w:rPr>
        <w:t xml:space="preserve"> </w:t>
      </w:r>
      <w:r w:rsidR="005F33B6" w:rsidRPr="00714F1F">
        <w:rPr>
          <w:rFonts w:ascii="Arial" w:hAnsi="Arial" w:cs="Arial"/>
          <w:sz w:val="18"/>
          <w:szCs w:val="18"/>
        </w:rPr>
        <w:t>C</w:t>
      </w:r>
      <w:r w:rsidR="00893665" w:rsidRPr="00714F1F">
        <w:rPr>
          <w:rFonts w:ascii="Arial" w:hAnsi="Arial" w:cs="Arial"/>
          <w:sz w:val="18"/>
          <w:szCs w:val="18"/>
        </w:rPr>
        <w:t>onsumo de alimentos; Testes Hematológicos.</w:t>
      </w:r>
    </w:p>
    <w:p w14:paraId="3F372857" w14:textId="77777777" w:rsidR="00DA66CD" w:rsidRPr="004A45EE" w:rsidRDefault="00DA66CD" w:rsidP="00FB6249">
      <w:pPr>
        <w:spacing w:after="120" w:line="26" w:lineRule="atLeast"/>
        <w:rPr>
          <w:rFonts w:ascii="Arial" w:hAnsi="Arial" w:cs="Arial"/>
          <w:b/>
          <w:sz w:val="18"/>
          <w:szCs w:val="18"/>
        </w:rPr>
      </w:pPr>
    </w:p>
    <w:p w14:paraId="42136573" w14:textId="77777777" w:rsidR="00A82519" w:rsidRDefault="00A82519" w:rsidP="00FB6249">
      <w:pPr>
        <w:spacing w:after="120" w:line="26" w:lineRule="atLeast"/>
        <w:rPr>
          <w:rFonts w:ascii="Arial" w:hAnsi="Arial" w:cs="Arial"/>
          <w:b/>
          <w:sz w:val="18"/>
          <w:szCs w:val="18"/>
          <w:lang w:val="en-US"/>
        </w:rPr>
      </w:pPr>
      <w:r w:rsidRPr="00137DB8">
        <w:rPr>
          <w:rFonts w:ascii="Arial" w:hAnsi="Arial" w:cs="Arial"/>
          <w:b/>
          <w:sz w:val="18"/>
          <w:szCs w:val="18"/>
          <w:lang w:val="en-US"/>
        </w:rPr>
        <w:t>ABSTRACT</w:t>
      </w:r>
    </w:p>
    <w:p w14:paraId="7D27D06E" w14:textId="182BFD35" w:rsidR="009012EC" w:rsidRPr="00714F1F" w:rsidRDefault="009012EC" w:rsidP="00CD78C3">
      <w:pPr>
        <w:spacing w:after="120" w:line="26" w:lineRule="atLeast"/>
        <w:jc w:val="both"/>
        <w:rPr>
          <w:rFonts w:ascii="Arial" w:hAnsi="Arial" w:cs="Arial"/>
          <w:sz w:val="18"/>
          <w:szCs w:val="18"/>
          <w:lang w:val="en-US"/>
        </w:rPr>
      </w:pPr>
      <w:r w:rsidRPr="00714F1F">
        <w:rPr>
          <w:rFonts w:ascii="Arial" w:hAnsi="Arial" w:cs="Arial"/>
          <w:sz w:val="18"/>
          <w:szCs w:val="18"/>
          <w:lang w:val="en-US"/>
        </w:rPr>
        <w:t xml:space="preserve">Introduction: </w:t>
      </w:r>
      <w:r w:rsidR="00E22166" w:rsidRPr="00E22166">
        <w:rPr>
          <w:rFonts w:ascii="Arial" w:hAnsi="Arial" w:cs="Arial"/>
          <w:sz w:val="18"/>
          <w:szCs w:val="18"/>
          <w:lang w:val="en-US"/>
        </w:rPr>
        <w:t>The increase in the elderly population in Brazil reflected more attention by health professionals on iron deficiency anemia, which may be influenced by financial, psychological, familial and food behavior related to the adequate supply of iron to attend physiological and nutritional needs.</w:t>
      </w:r>
      <w:r w:rsidRPr="00714F1F">
        <w:rPr>
          <w:rFonts w:ascii="Arial" w:hAnsi="Arial" w:cs="Arial"/>
          <w:sz w:val="18"/>
          <w:szCs w:val="18"/>
          <w:lang w:val="en-US"/>
        </w:rPr>
        <w:t xml:space="preserve"> Objectives: To evaluate the prevalence and factors associated with iron deficiency anemia in the elderly in Brazil. Methodology: SciELO (Scientific Electronic Library Online), Google Academic and CAPES Portal databases were used, being considered only national articles that evaluated the consumption of iron or did a biochemical analysis of hemoglobin. </w:t>
      </w:r>
      <w:r w:rsidR="002076B8" w:rsidRPr="00714F1F">
        <w:rPr>
          <w:rFonts w:ascii="Arial" w:hAnsi="Arial" w:cs="Arial"/>
          <w:sz w:val="18"/>
          <w:szCs w:val="18"/>
          <w:lang w:val="en-US"/>
        </w:rPr>
        <w:t>Results and discussion</w:t>
      </w:r>
      <w:r w:rsidRPr="00714F1F">
        <w:rPr>
          <w:rFonts w:ascii="Arial" w:hAnsi="Arial" w:cs="Arial"/>
          <w:sz w:val="18"/>
          <w:szCs w:val="18"/>
          <w:lang w:val="en-US"/>
        </w:rPr>
        <w:t xml:space="preserve">: Fifteen studies with </w:t>
      </w:r>
      <w:r w:rsidR="00990754">
        <w:rPr>
          <w:rFonts w:ascii="Arial" w:hAnsi="Arial" w:cs="Arial"/>
          <w:sz w:val="18"/>
          <w:szCs w:val="18"/>
          <w:lang w:val="en-US"/>
        </w:rPr>
        <w:t>outpatient</w:t>
      </w:r>
      <w:r w:rsidRPr="00714F1F">
        <w:rPr>
          <w:rFonts w:ascii="Arial" w:hAnsi="Arial" w:cs="Arial"/>
          <w:sz w:val="18"/>
          <w:szCs w:val="18"/>
          <w:lang w:val="en-US"/>
        </w:rPr>
        <w:t>, hospitalized and institutionalized elderly people were identified, encompassing four regions of the country (except the northern region), wi</w:t>
      </w:r>
      <w:r w:rsidR="00AE5326">
        <w:rPr>
          <w:rFonts w:ascii="Arial" w:hAnsi="Arial" w:cs="Arial"/>
          <w:sz w:val="18"/>
          <w:szCs w:val="18"/>
          <w:lang w:val="en-US"/>
        </w:rPr>
        <w:t>th a total of 7551 participants</w:t>
      </w:r>
      <w:r w:rsidRPr="00714F1F">
        <w:rPr>
          <w:rFonts w:ascii="Arial" w:hAnsi="Arial" w:cs="Arial"/>
          <w:sz w:val="18"/>
          <w:szCs w:val="18"/>
          <w:lang w:val="en-US"/>
        </w:rPr>
        <w:t xml:space="preserve">. Hemoglobin levels and the prevalence of anemia were related to variables such as dryness, schooling, age and monthly income. According to the studies, institutionalization requires interventions to correct or prevent nutritional deficits, such as the measurement of hemoglobin levels, since anemia is a marker of risk of functional decline, as well as the greater risk of polypharmacy. Conclusion: </w:t>
      </w:r>
      <w:r w:rsidR="00CD78C3" w:rsidRPr="00714F1F">
        <w:rPr>
          <w:rFonts w:ascii="Arial" w:hAnsi="Arial" w:cs="Arial"/>
          <w:sz w:val="18"/>
          <w:szCs w:val="18"/>
          <w:lang w:val="en-US"/>
        </w:rPr>
        <w:t>Studies have shown high prevalence of anemia and factors contributing to its development and maintenance, such as insufficient intake. In fact, the persistence of anemia in this vulnerable group is observed.</w:t>
      </w:r>
    </w:p>
    <w:p w14:paraId="7B73FC20" w14:textId="77777777" w:rsidR="00A82519" w:rsidRPr="00714F1F" w:rsidRDefault="00480C2B" w:rsidP="00FB6249">
      <w:pPr>
        <w:spacing w:after="120" w:line="26" w:lineRule="atLeast"/>
        <w:rPr>
          <w:rFonts w:ascii="Arial" w:hAnsi="Arial" w:cs="Arial"/>
          <w:sz w:val="18"/>
          <w:szCs w:val="18"/>
          <w:lang w:val="en-US"/>
        </w:rPr>
      </w:pPr>
      <w:r w:rsidRPr="00137DB8">
        <w:rPr>
          <w:rFonts w:ascii="Arial" w:hAnsi="Arial" w:cs="Arial"/>
          <w:b/>
          <w:sz w:val="18"/>
          <w:szCs w:val="18"/>
          <w:lang w:val="en-US"/>
        </w:rPr>
        <w:t>Keywords:</w:t>
      </w:r>
      <w:r w:rsidR="00990754">
        <w:rPr>
          <w:rFonts w:ascii="Arial" w:hAnsi="Arial" w:cs="Arial"/>
          <w:b/>
          <w:sz w:val="18"/>
          <w:szCs w:val="18"/>
          <w:lang w:val="en-US"/>
        </w:rPr>
        <w:t xml:space="preserve"> </w:t>
      </w:r>
      <w:r w:rsidR="00137DB8" w:rsidRPr="00714F1F">
        <w:rPr>
          <w:rFonts w:ascii="Arial" w:hAnsi="Arial" w:cs="Arial"/>
          <w:sz w:val="18"/>
          <w:szCs w:val="18"/>
          <w:lang w:val="en-US"/>
        </w:rPr>
        <w:t xml:space="preserve">Iron-Deficiency; </w:t>
      </w:r>
      <w:r w:rsidR="008C4FB6" w:rsidRPr="00714F1F">
        <w:rPr>
          <w:rFonts w:ascii="Arial" w:hAnsi="Arial" w:cs="Arial"/>
          <w:sz w:val="18"/>
          <w:szCs w:val="18"/>
          <w:lang w:val="en-US"/>
        </w:rPr>
        <w:t xml:space="preserve">Geriatrics; </w:t>
      </w:r>
      <w:r w:rsidR="00893665" w:rsidRPr="00714F1F">
        <w:rPr>
          <w:rFonts w:ascii="Arial" w:hAnsi="Arial" w:cs="Arial"/>
          <w:sz w:val="18"/>
          <w:szCs w:val="18"/>
          <w:lang w:val="en-US"/>
        </w:rPr>
        <w:t>Food con</w:t>
      </w:r>
      <w:r w:rsidR="005F33B6" w:rsidRPr="00714F1F">
        <w:rPr>
          <w:rFonts w:ascii="Arial" w:hAnsi="Arial" w:cs="Arial"/>
          <w:sz w:val="18"/>
          <w:szCs w:val="18"/>
          <w:lang w:val="en-US"/>
        </w:rPr>
        <w:t xml:space="preserve">sumption; </w:t>
      </w:r>
      <w:r w:rsidR="00893665" w:rsidRPr="00714F1F">
        <w:rPr>
          <w:rFonts w:ascii="Arial" w:hAnsi="Arial" w:cs="Arial"/>
          <w:sz w:val="18"/>
          <w:szCs w:val="18"/>
          <w:lang w:val="en-US"/>
        </w:rPr>
        <w:t>Hematologic Tests.</w:t>
      </w:r>
    </w:p>
    <w:p w14:paraId="2B9C54AF" w14:textId="77777777" w:rsidR="00B3160C" w:rsidRDefault="00B3160C" w:rsidP="00FB6249">
      <w:pPr>
        <w:spacing w:after="120" w:line="26" w:lineRule="atLeast"/>
        <w:rPr>
          <w:rFonts w:ascii="Arial" w:hAnsi="Arial" w:cs="Arial"/>
          <w:b/>
          <w:sz w:val="18"/>
          <w:szCs w:val="18"/>
          <w:lang w:val="en-US"/>
        </w:rPr>
      </w:pPr>
    </w:p>
    <w:p w14:paraId="27697732" w14:textId="77777777" w:rsidR="00480C2B" w:rsidRPr="00137DB8" w:rsidRDefault="005A33F4" w:rsidP="00FF0D0C">
      <w:pPr>
        <w:spacing w:after="200" w:line="276" w:lineRule="auto"/>
        <w:rPr>
          <w:rFonts w:ascii="Arial" w:hAnsi="Arial" w:cs="Arial"/>
          <w:b/>
          <w:sz w:val="18"/>
          <w:szCs w:val="18"/>
          <w:lang w:val="en-US"/>
        </w:rPr>
      </w:pPr>
      <w:r>
        <w:rPr>
          <w:rFonts w:ascii="Arial" w:hAnsi="Arial" w:cs="Arial"/>
          <w:b/>
          <w:sz w:val="18"/>
          <w:szCs w:val="18"/>
          <w:lang w:val="en-US"/>
        </w:rPr>
        <w:br w:type="page"/>
      </w:r>
    </w:p>
    <w:p w14:paraId="140E86CB" w14:textId="77777777" w:rsidR="008B5DDE" w:rsidRPr="00FB6249" w:rsidRDefault="00176D14" w:rsidP="00FB6249">
      <w:pPr>
        <w:pStyle w:val="Ttulo1"/>
        <w:numPr>
          <w:ilvl w:val="0"/>
          <w:numId w:val="11"/>
        </w:numPr>
        <w:spacing w:before="0" w:after="120" w:line="26" w:lineRule="atLeast"/>
        <w:ind w:left="426"/>
        <w:jc w:val="both"/>
        <w:rPr>
          <w:rFonts w:ascii="Arial" w:hAnsi="Arial" w:cs="Arial"/>
          <w:b/>
          <w:color w:val="FF0000"/>
          <w:sz w:val="22"/>
          <w:szCs w:val="22"/>
        </w:rPr>
      </w:pPr>
      <w:bookmarkStart w:id="2" w:name="_Toc474748070"/>
      <w:r w:rsidRPr="00FB6249">
        <w:rPr>
          <w:rFonts w:ascii="Arial" w:hAnsi="Arial" w:cs="Arial"/>
          <w:b/>
          <w:color w:val="auto"/>
          <w:sz w:val="22"/>
          <w:szCs w:val="22"/>
        </w:rPr>
        <w:lastRenderedPageBreak/>
        <w:t>INTRODUÇÃO</w:t>
      </w:r>
      <w:bookmarkEnd w:id="2"/>
    </w:p>
    <w:p w14:paraId="60F3DAF0" w14:textId="77777777" w:rsidR="0036545B" w:rsidRDefault="0036545B" w:rsidP="0018723D">
      <w:pPr>
        <w:spacing w:after="120" w:line="26" w:lineRule="atLeast"/>
        <w:ind w:firstLine="567"/>
        <w:jc w:val="both"/>
        <w:rPr>
          <w:rFonts w:ascii="Arial" w:hAnsi="Arial" w:cs="Arial"/>
        </w:rPr>
      </w:pPr>
    </w:p>
    <w:p w14:paraId="0C55D41E" w14:textId="77777777" w:rsidR="00D34B73" w:rsidRPr="00FB6249" w:rsidRDefault="00853C42" w:rsidP="0018723D">
      <w:pPr>
        <w:spacing w:after="120" w:line="26" w:lineRule="atLeast"/>
        <w:ind w:firstLine="567"/>
        <w:jc w:val="both"/>
        <w:rPr>
          <w:rFonts w:ascii="Arial" w:hAnsi="Arial" w:cs="Arial"/>
        </w:rPr>
      </w:pPr>
      <w:r w:rsidRPr="00FB6249">
        <w:rPr>
          <w:rFonts w:ascii="Arial" w:hAnsi="Arial" w:cs="Arial"/>
        </w:rPr>
        <w:t>Nas últimas déca</w:t>
      </w:r>
      <w:r w:rsidR="00817914" w:rsidRPr="00FB6249">
        <w:rPr>
          <w:rFonts w:ascii="Arial" w:hAnsi="Arial" w:cs="Arial"/>
        </w:rPr>
        <w:t>das, a sociedade brasileira vivenciou a</w:t>
      </w:r>
      <w:r w:rsidRPr="00FB6249">
        <w:rPr>
          <w:rFonts w:ascii="Arial" w:hAnsi="Arial" w:cs="Arial"/>
        </w:rPr>
        <w:t xml:space="preserve"> transição demográfica, atualmente já estabelecida no país (BRASIL, 2012). </w:t>
      </w:r>
      <w:r w:rsidR="00080E87" w:rsidRPr="00FB6249">
        <w:rPr>
          <w:rFonts w:ascii="Arial" w:hAnsi="Arial" w:cs="Arial"/>
        </w:rPr>
        <w:t>Apesar de tal cenário refletir no aumento da expectativa de vida da população, epidemiologicamente</w:t>
      </w:r>
      <w:r w:rsidR="00951F0A">
        <w:rPr>
          <w:rFonts w:ascii="Arial" w:hAnsi="Arial" w:cs="Arial"/>
        </w:rPr>
        <w:t>,</w:t>
      </w:r>
      <w:r w:rsidR="00080E87" w:rsidRPr="00FB6249">
        <w:rPr>
          <w:rFonts w:ascii="Arial" w:hAnsi="Arial" w:cs="Arial"/>
        </w:rPr>
        <w:t xml:space="preserve"> tem sido observado</w:t>
      </w:r>
      <w:r w:rsidR="00A07D4B" w:rsidRPr="00FB6249">
        <w:rPr>
          <w:rFonts w:ascii="Arial" w:hAnsi="Arial" w:cs="Arial"/>
        </w:rPr>
        <w:t xml:space="preserve"> que </w:t>
      </w:r>
      <w:r w:rsidR="00C95F21">
        <w:rPr>
          <w:rFonts w:ascii="Arial" w:hAnsi="Arial" w:cs="Arial"/>
        </w:rPr>
        <w:t>saúde e</w:t>
      </w:r>
      <w:r w:rsidR="00457E4E" w:rsidRPr="00FB6249">
        <w:rPr>
          <w:rFonts w:ascii="Arial" w:hAnsi="Arial" w:cs="Arial"/>
        </w:rPr>
        <w:t xml:space="preserve"> qualidade de vida não acompanham necessariamente o processo de envelhecimento, uma vez que alterações fisiológicas ocorrem e a manifestação e agravamento de doenças crônicas torna-se perceptível em indivíduos idosos</w:t>
      </w:r>
      <w:r w:rsidR="00EC5E11">
        <w:rPr>
          <w:rFonts w:ascii="Arial" w:hAnsi="Arial" w:cs="Arial"/>
        </w:rPr>
        <w:t>, caracterizando a senilidade</w:t>
      </w:r>
      <w:r w:rsidR="00457E4E" w:rsidRPr="00FB6249">
        <w:rPr>
          <w:rFonts w:ascii="Arial" w:hAnsi="Arial" w:cs="Arial"/>
        </w:rPr>
        <w:t xml:space="preserve"> (CARDOSO, 2009).</w:t>
      </w:r>
      <w:r w:rsidR="004570F4" w:rsidRPr="00FB6249">
        <w:rPr>
          <w:rFonts w:ascii="Arial" w:hAnsi="Arial" w:cs="Arial"/>
        </w:rPr>
        <w:t xml:space="preserve"> Paralelamente, </w:t>
      </w:r>
      <w:r w:rsidR="00D359C6" w:rsidRPr="00FB6249">
        <w:rPr>
          <w:rFonts w:ascii="Arial" w:hAnsi="Arial" w:cs="Arial"/>
        </w:rPr>
        <w:t xml:space="preserve">podem ocorrer </w:t>
      </w:r>
      <w:r w:rsidR="004570F4" w:rsidRPr="00FB6249">
        <w:rPr>
          <w:rFonts w:ascii="Arial" w:hAnsi="Arial" w:cs="Arial"/>
        </w:rPr>
        <w:t xml:space="preserve">modificações </w:t>
      </w:r>
      <w:r w:rsidR="00803C2C">
        <w:rPr>
          <w:rFonts w:ascii="Arial" w:hAnsi="Arial" w:cs="Arial"/>
        </w:rPr>
        <w:t xml:space="preserve">significativas </w:t>
      </w:r>
      <w:r w:rsidR="004570F4" w:rsidRPr="00FB6249">
        <w:rPr>
          <w:rFonts w:ascii="Arial" w:hAnsi="Arial" w:cs="Arial"/>
        </w:rPr>
        <w:t>no estilo de vida</w:t>
      </w:r>
      <w:r w:rsidR="00803C2C">
        <w:rPr>
          <w:rFonts w:ascii="Arial" w:hAnsi="Arial" w:cs="Arial"/>
        </w:rPr>
        <w:t xml:space="preserve"> e composição corporal desse grupo</w:t>
      </w:r>
      <w:r w:rsidR="004570F4" w:rsidRPr="00FB6249">
        <w:rPr>
          <w:rFonts w:ascii="Arial" w:hAnsi="Arial" w:cs="Arial"/>
        </w:rPr>
        <w:t>, assim como diminuição das atividades f</w:t>
      </w:r>
      <w:r w:rsidR="00D34B73" w:rsidRPr="00FB6249">
        <w:rPr>
          <w:rFonts w:ascii="Arial" w:hAnsi="Arial" w:cs="Arial"/>
        </w:rPr>
        <w:t>ísicas</w:t>
      </w:r>
      <w:r w:rsidR="004570F4" w:rsidRPr="00FB6249">
        <w:rPr>
          <w:rFonts w:ascii="Arial" w:hAnsi="Arial" w:cs="Arial"/>
        </w:rPr>
        <w:t xml:space="preserve"> e mudanças nos padrões alimentares</w:t>
      </w:r>
      <w:r w:rsidR="00803C2C">
        <w:rPr>
          <w:rFonts w:ascii="Arial" w:hAnsi="Arial" w:cs="Arial"/>
        </w:rPr>
        <w:t xml:space="preserve"> (</w:t>
      </w:r>
      <w:r w:rsidR="00803C2C" w:rsidRPr="00FB6249">
        <w:rPr>
          <w:rFonts w:ascii="Arial" w:hAnsi="Arial" w:cs="Arial"/>
        </w:rPr>
        <w:t>SCHAAN</w:t>
      </w:r>
      <w:r w:rsidR="00803C2C">
        <w:rPr>
          <w:rFonts w:ascii="Arial" w:hAnsi="Arial" w:cs="Arial"/>
        </w:rPr>
        <w:t xml:space="preserve"> et al., </w:t>
      </w:r>
      <w:r w:rsidR="004570F4" w:rsidRPr="00FB6249">
        <w:rPr>
          <w:rFonts w:ascii="Arial" w:hAnsi="Arial" w:cs="Arial"/>
        </w:rPr>
        <w:t>2007).</w:t>
      </w:r>
    </w:p>
    <w:p w14:paraId="53B7497B" w14:textId="77777777" w:rsidR="00105AE1" w:rsidRPr="00FB6249" w:rsidRDefault="0052764B" w:rsidP="0018723D">
      <w:pPr>
        <w:spacing w:after="120" w:line="26" w:lineRule="atLeast"/>
        <w:ind w:firstLine="567"/>
        <w:jc w:val="both"/>
        <w:rPr>
          <w:rFonts w:ascii="Arial" w:hAnsi="Arial" w:cs="Arial"/>
        </w:rPr>
      </w:pPr>
      <w:r w:rsidRPr="00FB6249">
        <w:rPr>
          <w:rFonts w:ascii="Arial" w:hAnsi="Arial" w:cs="Arial"/>
        </w:rPr>
        <w:t xml:space="preserve">No que se refere </w:t>
      </w:r>
      <w:r w:rsidR="001A6047">
        <w:rPr>
          <w:rFonts w:ascii="Arial" w:hAnsi="Arial" w:cs="Arial"/>
        </w:rPr>
        <w:t>à</w:t>
      </w:r>
      <w:r w:rsidRPr="00FB6249">
        <w:rPr>
          <w:rFonts w:ascii="Arial" w:hAnsi="Arial" w:cs="Arial"/>
        </w:rPr>
        <w:t>s questões nutricionai</w:t>
      </w:r>
      <w:r w:rsidR="00C569F5" w:rsidRPr="00FB6249">
        <w:rPr>
          <w:rFonts w:ascii="Arial" w:hAnsi="Arial" w:cs="Arial"/>
        </w:rPr>
        <w:t>s sob o ponto de vista biopsicossocial,</w:t>
      </w:r>
      <w:r w:rsidR="00990754">
        <w:rPr>
          <w:rFonts w:ascii="Arial" w:hAnsi="Arial" w:cs="Arial"/>
        </w:rPr>
        <w:t xml:space="preserve"> </w:t>
      </w:r>
      <w:r w:rsidR="000A62C0" w:rsidRPr="00FB6249">
        <w:rPr>
          <w:rFonts w:ascii="Arial" w:hAnsi="Arial" w:cs="Arial"/>
        </w:rPr>
        <w:t xml:space="preserve">observa-se que o comportamento alimentar do idoso </w:t>
      </w:r>
      <w:r w:rsidR="00C569F5" w:rsidRPr="00FB6249">
        <w:rPr>
          <w:rFonts w:ascii="Arial" w:hAnsi="Arial" w:cs="Arial"/>
        </w:rPr>
        <w:t>tem características específicas, sendo muito influenciada, principalmente, por questões financeiras, uma vez que o orçamento mensal depende, e</w:t>
      </w:r>
      <w:r w:rsidR="004C2FC3">
        <w:rPr>
          <w:rFonts w:ascii="Arial" w:hAnsi="Arial" w:cs="Arial"/>
        </w:rPr>
        <w:t>m sua maioria, da aposentadoria. Ademais,</w:t>
      </w:r>
      <w:r w:rsidR="00990754">
        <w:rPr>
          <w:rFonts w:ascii="Arial" w:hAnsi="Arial" w:cs="Arial"/>
        </w:rPr>
        <w:t xml:space="preserve"> </w:t>
      </w:r>
      <w:r w:rsidR="00105AE1" w:rsidRPr="00FB6249">
        <w:rPr>
          <w:rFonts w:ascii="Arial" w:hAnsi="Arial" w:cs="Arial"/>
        </w:rPr>
        <w:t>questões de saúde, como incapacidades físicas, presença de doenças, anormalidades no trato gastrointestinal ou na cavidade oral</w:t>
      </w:r>
      <w:r w:rsidR="003720FB">
        <w:rPr>
          <w:rFonts w:ascii="Arial" w:hAnsi="Arial" w:cs="Arial"/>
        </w:rPr>
        <w:t>, assim como medicamentos,</w:t>
      </w:r>
      <w:r w:rsidR="00105AE1" w:rsidRPr="00FB6249">
        <w:rPr>
          <w:rFonts w:ascii="Arial" w:hAnsi="Arial" w:cs="Arial"/>
        </w:rPr>
        <w:t xml:space="preserve"> po</w:t>
      </w:r>
      <w:r w:rsidR="003720FB">
        <w:rPr>
          <w:rFonts w:ascii="Arial" w:hAnsi="Arial" w:cs="Arial"/>
        </w:rPr>
        <w:t xml:space="preserve">dem alterar o hábito alimentar. Os </w:t>
      </w:r>
      <w:r w:rsidR="00A01CE0" w:rsidRPr="00FB6249">
        <w:rPr>
          <w:rFonts w:ascii="Arial" w:hAnsi="Arial" w:cs="Arial"/>
        </w:rPr>
        <w:t>fenômenos sociais, como papeis exercidos</w:t>
      </w:r>
      <w:r w:rsidR="002720B7" w:rsidRPr="00FB6249">
        <w:rPr>
          <w:rFonts w:ascii="Arial" w:hAnsi="Arial" w:cs="Arial"/>
        </w:rPr>
        <w:t>,</w:t>
      </w:r>
      <w:r w:rsidR="00A01CE0" w:rsidRPr="00FB6249">
        <w:rPr>
          <w:rFonts w:ascii="Arial" w:hAnsi="Arial" w:cs="Arial"/>
        </w:rPr>
        <w:t xml:space="preserve"> e fatores</w:t>
      </w:r>
      <w:r w:rsidR="00C569F5" w:rsidRPr="00FB6249">
        <w:rPr>
          <w:rFonts w:ascii="Arial" w:hAnsi="Arial" w:cs="Arial"/>
        </w:rPr>
        <w:t xml:space="preserve"> ps</w:t>
      </w:r>
      <w:r w:rsidR="00A01CE0" w:rsidRPr="00FB6249">
        <w:rPr>
          <w:rFonts w:ascii="Arial" w:hAnsi="Arial" w:cs="Arial"/>
        </w:rPr>
        <w:t>icológicos e p</w:t>
      </w:r>
      <w:r w:rsidR="00A63DD2" w:rsidRPr="00FB6249">
        <w:rPr>
          <w:rFonts w:ascii="Arial" w:hAnsi="Arial" w:cs="Arial"/>
        </w:rPr>
        <w:t>s</w:t>
      </w:r>
      <w:r w:rsidR="00C569F5" w:rsidRPr="00FB6249">
        <w:rPr>
          <w:rFonts w:ascii="Arial" w:hAnsi="Arial" w:cs="Arial"/>
        </w:rPr>
        <w:t>íquicos, que envolve</w:t>
      </w:r>
      <w:r w:rsidR="00A01CE0" w:rsidRPr="00FB6249">
        <w:rPr>
          <w:rFonts w:ascii="Arial" w:hAnsi="Arial" w:cs="Arial"/>
        </w:rPr>
        <w:t>m</w:t>
      </w:r>
      <w:r w:rsidR="00990754">
        <w:rPr>
          <w:rFonts w:ascii="Arial" w:hAnsi="Arial" w:cs="Arial"/>
        </w:rPr>
        <w:t xml:space="preserve"> </w:t>
      </w:r>
      <w:r w:rsidR="00A01CE0" w:rsidRPr="00FB6249">
        <w:rPr>
          <w:rFonts w:ascii="Arial" w:hAnsi="Arial" w:cs="Arial"/>
        </w:rPr>
        <w:t xml:space="preserve">aspectos emocionais, </w:t>
      </w:r>
      <w:r w:rsidR="00C569F5" w:rsidRPr="00FB6249">
        <w:rPr>
          <w:rFonts w:ascii="Arial" w:hAnsi="Arial" w:cs="Arial"/>
        </w:rPr>
        <w:t>os valores e crenças do indivíduo</w:t>
      </w:r>
      <w:r w:rsidR="00990754">
        <w:rPr>
          <w:rFonts w:ascii="Arial" w:hAnsi="Arial" w:cs="Arial"/>
        </w:rPr>
        <w:t xml:space="preserve"> </w:t>
      </w:r>
      <w:r w:rsidR="003720FB">
        <w:rPr>
          <w:rFonts w:ascii="Arial" w:hAnsi="Arial" w:cs="Arial"/>
        </w:rPr>
        <w:t xml:space="preserve">também possuem relevância nesse aspecto </w:t>
      </w:r>
      <w:r w:rsidR="000050C9" w:rsidRPr="00FB6249">
        <w:rPr>
          <w:rFonts w:ascii="Arial" w:hAnsi="Arial" w:cs="Arial"/>
        </w:rPr>
        <w:t>(</w:t>
      </w:r>
      <w:r w:rsidR="00105AE1" w:rsidRPr="00FB6249">
        <w:rPr>
          <w:rFonts w:ascii="Arial" w:hAnsi="Arial" w:cs="Arial"/>
        </w:rPr>
        <w:t xml:space="preserve">ARANHA et al., 2000; </w:t>
      </w:r>
      <w:r w:rsidR="00783605">
        <w:rPr>
          <w:rFonts w:ascii="Arial" w:hAnsi="Arial" w:cs="Arial"/>
        </w:rPr>
        <w:t>CAMPOS; MONTEIRO; ORNELAS, 2000;</w:t>
      </w:r>
      <w:r w:rsidR="00990754">
        <w:rPr>
          <w:rFonts w:ascii="Arial" w:hAnsi="Arial" w:cs="Arial"/>
        </w:rPr>
        <w:t xml:space="preserve"> </w:t>
      </w:r>
      <w:r w:rsidR="00AC51B6" w:rsidRPr="00FB6249">
        <w:rPr>
          <w:rFonts w:ascii="Arial" w:hAnsi="Arial" w:cs="Arial"/>
        </w:rPr>
        <w:t>MENDONÇA; RELVAS; CORRE</w:t>
      </w:r>
      <w:r w:rsidR="000050C9" w:rsidRPr="00FB6249">
        <w:rPr>
          <w:rFonts w:ascii="Arial" w:hAnsi="Arial" w:cs="Arial"/>
        </w:rPr>
        <w:t>A, 2010).</w:t>
      </w:r>
    </w:p>
    <w:p w14:paraId="398AD192" w14:textId="77777777" w:rsidR="00052A91" w:rsidRPr="00FB6249" w:rsidRDefault="00F77D47" w:rsidP="0018723D">
      <w:pPr>
        <w:spacing w:after="120" w:line="26" w:lineRule="atLeast"/>
        <w:ind w:firstLine="567"/>
        <w:jc w:val="both"/>
        <w:rPr>
          <w:rFonts w:ascii="Arial" w:hAnsi="Arial" w:cs="Arial"/>
        </w:rPr>
      </w:pPr>
      <w:r w:rsidRPr="00FB6249">
        <w:rPr>
          <w:rFonts w:ascii="Arial" w:hAnsi="Arial" w:cs="Arial"/>
        </w:rPr>
        <w:t xml:space="preserve">Ressalta-se que o comportamento alimentar e os </w:t>
      </w:r>
      <w:r w:rsidR="00C533A4" w:rsidRPr="00FB6249">
        <w:rPr>
          <w:rFonts w:ascii="Arial" w:hAnsi="Arial" w:cs="Arial"/>
        </w:rPr>
        <w:t>fatores envolvidos na esfera do envelhecimento</w:t>
      </w:r>
      <w:r w:rsidR="0008645E" w:rsidRPr="00FB6249">
        <w:rPr>
          <w:rFonts w:ascii="Arial" w:hAnsi="Arial" w:cs="Arial"/>
        </w:rPr>
        <w:t>, como a hospitalização ou institucionalização,</w:t>
      </w:r>
      <w:r w:rsidR="00990754">
        <w:rPr>
          <w:rFonts w:ascii="Arial" w:hAnsi="Arial" w:cs="Arial"/>
        </w:rPr>
        <w:t xml:space="preserve"> </w:t>
      </w:r>
      <w:r w:rsidR="00921689">
        <w:rPr>
          <w:rFonts w:ascii="Arial" w:hAnsi="Arial" w:cs="Arial"/>
        </w:rPr>
        <w:t xml:space="preserve">também </w:t>
      </w:r>
      <w:r w:rsidRPr="00FB6249">
        <w:rPr>
          <w:rFonts w:ascii="Arial" w:hAnsi="Arial" w:cs="Arial"/>
        </w:rPr>
        <w:t>deve</w:t>
      </w:r>
      <w:r w:rsidR="00C533A4" w:rsidRPr="00FB6249">
        <w:rPr>
          <w:rFonts w:ascii="Arial" w:hAnsi="Arial" w:cs="Arial"/>
        </w:rPr>
        <w:t>m</w:t>
      </w:r>
      <w:r w:rsidRPr="00FB6249">
        <w:rPr>
          <w:rFonts w:ascii="Arial" w:hAnsi="Arial" w:cs="Arial"/>
        </w:rPr>
        <w:t xml:space="preserve"> ser visto</w:t>
      </w:r>
      <w:r w:rsidR="00C533A4" w:rsidRPr="00FB6249">
        <w:rPr>
          <w:rFonts w:ascii="Arial" w:hAnsi="Arial" w:cs="Arial"/>
        </w:rPr>
        <w:t>s</w:t>
      </w:r>
      <w:r w:rsidRPr="00FB6249">
        <w:rPr>
          <w:rFonts w:ascii="Arial" w:hAnsi="Arial" w:cs="Arial"/>
        </w:rPr>
        <w:t xml:space="preserve"> com maior atenção</w:t>
      </w:r>
      <w:r w:rsidR="002720B7" w:rsidRPr="00FB6249">
        <w:rPr>
          <w:rFonts w:ascii="Arial" w:hAnsi="Arial" w:cs="Arial"/>
        </w:rPr>
        <w:t>,</w:t>
      </w:r>
      <w:r w:rsidRPr="00FB6249">
        <w:rPr>
          <w:rFonts w:ascii="Arial" w:hAnsi="Arial" w:cs="Arial"/>
        </w:rPr>
        <w:t xml:space="preserve"> uma vez que</w:t>
      </w:r>
      <w:r w:rsidR="00C533A4" w:rsidRPr="00FB6249">
        <w:rPr>
          <w:rFonts w:ascii="Arial" w:hAnsi="Arial" w:cs="Arial"/>
        </w:rPr>
        <w:t xml:space="preserve"> podem favorecer a monotonia alimentar e a aquisição de alimentos de menor custo</w:t>
      </w:r>
      <w:r w:rsidR="002B4BD7" w:rsidRPr="00FB6249">
        <w:rPr>
          <w:rFonts w:ascii="Arial" w:hAnsi="Arial" w:cs="Arial"/>
        </w:rPr>
        <w:t xml:space="preserve"> e valor nutricional</w:t>
      </w:r>
      <w:r w:rsidR="002F56ED" w:rsidRPr="00FB6249">
        <w:rPr>
          <w:rFonts w:ascii="Arial" w:hAnsi="Arial" w:cs="Arial"/>
        </w:rPr>
        <w:t xml:space="preserve"> (CABRERA, 1998). </w:t>
      </w:r>
      <w:r w:rsidR="00DD1318" w:rsidRPr="00FB6249">
        <w:rPr>
          <w:rFonts w:ascii="Arial" w:hAnsi="Arial" w:cs="Arial"/>
        </w:rPr>
        <w:t xml:space="preserve">Assim sendo, </w:t>
      </w:r>
      <w:r w:rsidR="002218FD" w:rsidRPr="00FB6249">
        <w:rPr>
          <w:rFonts w:ascii="Arial" w:hAnsi="Arial" w:cs="Arial"/>
        </w:rPr>
        <w:t xml:space="preserve">uma vez que as necessidades nutricionais do indivíduo idoso podem se elevar para a manutenção da saúde e prevenção de doenças, </w:t>
      </w:r>
      <w:r w:rsidR="00951F0A">
        <w:rPr>
          <w:rFonts w:ascii="Arial" w:hAnsi="Arial" w:cs="Arial"/>
        </w:rPr>
        <w:t xml:space="preserve">as </w:t>
      </w:r>
      <w:r w:rsidR="00921689">
        <w:rPr>
          <w:rFonts w:ascii="Arial" w:hAnsi="Arial" w:cs="Arial"/>
        </w:rPr>
        <w:t xml:space="preserve">dificuldades para </w:t>
      </w:r>
      <w:r w:rsidR="002218FD" w:rsidRPr="00FB6249">
        <w:rPr>
          <w:rFonts w:ascii="Arial" w:hAnsi="Arial" w:cs="Arial"/>
        </w:rPr>
        <w:t xml:space="preserve">a adesão de </w:t>
      </w:r>
      <w:r w:rsidR="00DD1318" w:rsidRPr="00FB6249">
        <w:rPr>
          <w:rFonts w:ascii="Arial" w:hAnsi="Arial" w:cs="Arial"/>
        </w:rPr>
        <w:t>um</w:t>
      </w:r>
      <w:r w:rsidR="002B4BD7" w:rsidRPr="00FB6249">
        <w:rPr>
          <w:rFonts w:ascii="Arial" w:hAnsi="Arial" w:cs="Arial"/>
        </w:rPr>
        <w:t xml:space="preserve"> hábito alimentar </w:t>
      </w:r>
      <w:r w:rsidR="00DD1318" w:rsidRPr="00FB6249">
        <w:rPr>
          <w:rFonts w:ascii="Arial" w:hAnsi="Arial" w:cs="Arial"/>
        </w:rPr>
        <w:t>saudável</w:t>
      </w:r>
      <w:r w:rsidR="002218FD" w:rsidRPr="00FB6249">
        <w:rPr>
          <w:rFonts w:ascii="Arial" w:hAnsi="Arial" w:cs="Arial"/>
        </w:rPr>
        <w:t xml:space="preserve"> para esses indivíduos </w:t>
      </w:r>
      <w:r w:rsidR="00921689">
        <w:rPr>
          <w:rFonts w:ascii="Arial" w:hAnsi="Arial" w:cs="Arial"/>
        </w:rPr>
        <w:t xml:space="preserve">podem ocorrer </w:t>
      </w:r>
      <w:r w:rsidR="002B4BD7" w:rsidRPr="00FB6249">
        <w:rPr>
          <w:rFonts w:ascii="Arial" w:hAnsi="Arial" w:cs="Arial"/>
        </w:rPr>
        <w:t>(</w:t>
      </w:r>
      <w:r w:rsidR="00D22B39">
        <w:rPr>
          <w:rFonts w:ascii="Arial" w:hAnsi="Arial" w:cs="Arial"/>
        </w:rPr>
        <w:t>ARANHA et al., 2000</w:t>
      </w:r>
      <w:r w:rsidR="002B4BD7" w:rsidRPr="00FB6249">
        <w:rPr>
          <w:rFonts w:ascii="Arial" w:hAnsi="Arial" w:cs="Arial"/>
        </w:rPr>
        <w:t>; MARQUES et al., 2007)</w:t>
      </w:r>
      <w:r w:rsidR="005C11B7" w:rsidRPr="00FB6249">
        <w:rPr>
          <w:rFonts w:ascii="Arial" w:hAnsi="Arial" w:cs="Arial"/>
        </w:rPr>
        <w:t xml:space="preserve">. De tal forma, Malta, Papini e Corrente (2013) </w:t>
      </w:r>
      <w:r w:rsidR="009B7E4E">
        <w:rPr>
          <w:rFonts w:ascii="Arial" w:hAnsi="Arial" w:cs="Arial"/>
        </w:rPr>
        <w:t xml:space="preserve">afirmam </w:t>
      </w:r>
      <w:r w:rsidR="005C11B7" w:rsidRPr="00FB6249">
        <w:rPr>
          <w:rFonts w:ascii="Arial" w:hAnsi="Arial" w:cs="Arial"/>
        </w:rPr>
        <w:t>que os idosos necessitam melhorar a alimentação, principalmente</w:t>
      </w:r>
      <w:r w:rsidR="006673DF">
        <w:rPr>
          <w:rFonts w:ascii="Arial" w:hAnsi="Arial" w:cs="Arial"/>
        </w:rPr>
        <w:t xml:space="preserve"> no que se refere ao consumo de alimentos </w:t>
      </w:r>
      <w:r w:rsidR="006673DF">
        <w:rPr>
          <w:rFonts w:ascii="Arial" w:hAnsi="Arial" w:cs="Arial"/>
          <w:i/>
        </w:rPr>
        <w:t>in natura</w:t>
      </w:r>
      <w:r w:rsidR="006673DF">
        <w:rPr>
          <w:rFonts w:ascii="Arial" w:hAnsi="Arial" w:cs="Arial"/>
        </w:rPr>
        <w:t xml:space="preserve"> e minimamente processados</w:t>
      </w:r>
      <w:r w:rsidR="002218FD" w:rsidRPr="00FB6249">
        <w:rPr>
          <w:rFonts w:ascii="Arial" w:hAnsi="Arial" w:cs="Arial"/>
        </w:rPr>
        <w:t>,</w:t>
      </w:r>
      <w:r w:rsidR="005C11B7" w:rsidRPr="00FB6249">
        <w:rPr>
          <w:rFonts w:ascii="Arial" w:hAnsi="Arial" w:cs="Arial"/>
        </w:rPr>
        <w:t xml:space="preserve"> visando </w:t>
      </w:r>
      <w:r w:rsidR="009B7E4E">
        <w:rPr>
          <w:rFonts w:ascii="Arial" w:hAnsi="Arial" w:cs="Arial"/>
        </w:rPr>
        <w:t>prevenir</w:t>
      </w:r>
      <w:r w:rsidR="005C11B7" w:rsidRPr="00FB6249">
        <w:rPr>
          <w:rFonts w:ascii="Arial" w:hAnsi="Arial" w:cs="Arial"/>
        </w:rPr>
        <w:t xml:space="preserve"> desnutrição e deficiências nutricionais.</w:t>
      </w:r>
    </w:p>
    <w:p w14:paraId="1D96985F" w14:textId="77777777" w:rsidR="00AF6B37" w:rsidRPr="00FB6249" w:rsidRDefault="00AF6B37" w:rsidP="00846276">
      <w:pPr>
        <w:spacing w:after="120" w:line="26" w:lineRule="atLeast"/>
        <w:ind w:firstLine="567"/>
        <w:jc w:val="both"/>
        <w:rPr>
          <w:rFonts w:ascii="Arial" w:hAnsi="Arial" w:cs="Arial"/>
        </w:rPr>
      </w:pPr>
      <w:r w:rsidRPr="00FB6249">
        <w:rPr>
          <w:rFonts w:ascii="Arial" w:hAnsi="Arial" w:cs="Arial"/>
        </w:rPr>
        <w:t>Bortolini e Fisberg (2010) reforçam a importância do ferro na composição de proteínas corporais</w:t>
      </w:r>
      <w:r>
        <w:rPr>
          <w:rFonts w:ascii="Arial" w:hAnsi="Arial" w:cs="Arial"/>
        </w:rPr>
        <w:t xml:space="preserve">, sendo de extrema relevância no contexto da anemia ferropriva, </w:t>
      </w:r>
      <w:r w:rsidRPr="00FB6249">
        <w:rPr>
          <w:rFonts w:ascii="Arial" w:hAnsi="Arial" w:cs="Arial"/>
        </w:rPr>
        <w:t xml:space="preserve">a </w:t>
      </w:r>
      <w:r>
        <w:rPr>
          <w:rFonts w:ascii="Arial" w:hAnsi="Arial" w:cs="Arial"/>
        </w:rPr>
        <w:t>hemoglobina</w:t>
      </w:r>
      <w:r w:rsidR="002E5B0F">
        <w:rPr>
          <w:rFonts w:ascii="Arial" w:hAnsi="Arial" w:cs="Arial"/>
        </w:rPr>
        <w:t xml:space="preserve"> (Hb)</w:t>
      </w:r>
      <w:r w:rsidRPr="00FB6249">
        <w:rPr>
          <w:rFonts w:ascii="Arial" w:hAnsi="Arial" w:cs="Arial"/>
        </w:rPr>
        <w:t>, responsável por transpo</w:t>
      </w:r>
      <w:r>
        <w:rPr>
          <w:rFonts w:ascii="Arial" w:hAnsi="Arial" w:cs="Arial"/>
        </w:rPr>
        <w:t xml:space="preserve">rtar o oxigênio para os tecidos. Seus principais sintomas, como palidez cutâneo-mucosa, taquicardia e dispneia costumam ser mascarados pelas características físicas da senilidade. De tal forma, embora </w:t>
      </w:r>
      <w:r w:rsidRPr="00FB6249">
        <w:rPr>
          <w:rFonts w:ascii="Arial" w:hAnsi="Arial" w:cs="Arial"/>
        </w:rPr>
        <w:t>anteriormente a literatura tenha considerado</w:t>
      </w:r>
      <w:r>
        <w:rPr>
          <w:rFonts w:ascii="Arial" w:hAnsi="Arial" w:cs="Arial"/>
        </w:rPr>
        <w:t xml:space="preserve"> a diminuição da </w:t>
      </w:r>
      <w:r w:rsidR="002E5B0F">
        <w:rPr>
          <w:rFonts w:ascii="Arial" w:hAnsi="Arial" w:cs="Arial"/>
        </w:rPr>
        <w:t>Hb</w:t>
      </w:r>
      <w:r>
        <w:rPr>
          <w:rFonts w:ascii="Arial" w:hAnsi="Arial" w:cs="Arial"/>
        </w:rPr>
        <w:t xml:space="preserve"> como um </w:t>
      </w:r>
      <w:r w:rsidRPr="00FB6249">
        <w:rPr>
          <w:rFonts w:ascii="Arial" w:hAnsi="Arial" w:cs="Arial"/>
        </w:rPr>
        <w:t>episódio fisiológico do envelhecimento</w:t>
      </w:r>
      <w:r w:rsidR="00846276" w:rsidRPr="00FB6249">
        <w:rPr>
          <w:rFonts w:ascii="Arial" w:hAnsi="Arial" w:cs="Arial"/>
        </w:rPr>
        <w:t xml:space="preserve">, estudos têm demonstrado </w:t>
      </w:r>
      <w:r w:rsidR="00846276">
        <w:rPr>
          <w:rFonts w:ascii="Arial" w:hAnsi="Arial" w:cs="Arial"/>
        </w:rPr>
        <w:t>a prevalência nessa faixa etária</w:t>
      </w:r>
      <w:r w:rsidR="00846276" w:rsidRPr="00FB6249">
        <w:rPr>
          <w:rFonts w:ascii="Arial" w:hAnsi="Arial" w:cs="Arial"/>
        </w:rPr>
        <w:t xml:space="preserve">, </w:t>
      </w:r>
      <w:r w:rsidR="0076022C">
        <w:rPr>
          <w:rFonts w:ascii="Arial" w:hAnsi="Arial" w:cs="Arial"/>
        </w:rPr>
        <w:t>devendo a anemia ferropriva receber mais atenção por parte de profissionais da área da saúde e familiares</w:t>
      </w:r>
      <w:r w:rsidR="002E23BB">
        <w:rPr>
          <w:rFonts w:ascii="Arial" w:hAnsi="Arial" w:cs="Arial"/>
        </w:rPr>
        <w:t xml:space="preserve"> </w:t>
      </w:r>
      <w:r w:rsidR="0003068C">
        <w:rPr>
          <w:rFonts w:ascii="Arial" w:hAnsi="Arial" w:cs="Arial"/>
        </w:rPr>
        <w:t>na sua prevenção e tratamento</w:t>
      </w:r>
      <w:r w:rsidR="0003068C" w:rsidRPr="00FB6249">
        <w:rPr>
          <w:rFonts w:ascii="Arial" w:hAnsi="Arial" w:cs="Arial"/>
        </w:rPr>
        <w:t xml:space="preserve"> farmacológico e nutricional </w:t>
      </w:r>
      <w:r w:rsidR="00F86665">
        <w:rPr>
          <w:rFonts w:ascii="Arial" w:hAnsi="Arial" w:cs="Arial"/>
        </w:rPr>
        <w:t>(</w:t>
      </w:r>
      <w:r w:rsidR="00F86665" w:rsidRPr="00FB6249">
        <w:rPr>
          <w:rFonts w:ascii="Arial" w:hAnsi="Arial" w:cs="Arial"/>
        </w:rPr>
        <w:t>GURALNIK et al., 2004; PATEL; GURALNIK, 2009</w:t>
      </w:r>
      <w:r w:rsidR="00F86665">
        <w:rPr>
          <w:rFonts w:ascii="Arial" w:hAnsi="Arial" w:cs="Arial"/>
        </w:rPr>
        <w:t>; GUALANDRO; HOJAIJ; FILHO, 2010</w:t>
      </w:r>
      <w:r w:rsidRPr="00FB6249">
        <w:rPr>
          <w:rFonts w:ascii="Arial" w:hAnsi="Arial" w:cs="Arial"/>
        </w:rPr>
        <w:t>).</w:t>
      </w:r>
    </w:p>
    <w:p w14:paraId="35602F2E" w14:textId="1EF3B131" w:rsidR="00736E9B" w:rsidRDefault="00B81DBC" w:rsidP="00736E9B">
      <w:pPr>
        <w:spacing w:after="120" w:line="26" w:lineRule="atLeast"/>
        <w:ind w:firstLine="567"/>
        <w:jc w:val="both"/>
        <w:rPr>
          <w:rFonts w:ascii="Arial" w:hAnsi="Arial" w:cs="Arial"/>
        </w:rPr>
      </w:pPr>
      <w:r w:rsidRPr="00B81DBC">
        <w:rPr>
          <w:rFonts w:ascii="Arial" w:hAnsi="Arial" w:cs="Arial"/>
        </w:rPr>
        <w:t>De acordo com a Organização Mundial da Saúde (2008), para o diagnóstico de anemi</w:t>
      </w:r>
      <w:r w:rsidR="004C1B26">
        <w:rPr>
          <w:rFonts w:ascii="Arial" w:hAnsi="Arial" w:cs="Arial"/>
        </w:rPr>
        <w:t>a,</w:t>
      </w:r>
      <w:r w:rsidRPr="00B81DBC">
        <w:rPr>
          <w:rFonts w:ascii="Arial" w:hAnsi="Arial" w:cs="Arial"/>
        </w:rPr>
        <w:t xml:space="preserve"> considera</w:t>
      </w:r>
      <w:r w:rsidR="004C1B26">
        <w:rPr>
          <w:rFonts w:ascii="Arial" w:hAnsi="Arial" w:cs="Arial"/>
        </w:rPr>
        <w:t xml:space="preserve">-se </w:t>
      </w:r>
      <w:r w:rsidR="002E5B0F">
        <w:rPr>
          <w:rFonts w:ascii="Arial" w:hAnsi="Arial" w:cs="Arial"/>
        </w:rPr>
        <w:t>Hb</w:t>
      </w:r>
      <w:r w:rsidRPr="00B81DBC">
        <w:rPr>
          <w:rFonts w:ascii="Arial" w:hAnsi="Arial" w:cs="Arial"/>
        </w:rPr>
        <w:t xml:space="preserve">&lt;13,0 g/dL </w:t>
      </w:r>
      <w:r w:rsidR="004C1B26">
        <w:rPr>
          <w:rFonts w:ascii="Arial" w:hAnsi="Arial" w:cs="Arial"/>
        </w:rPr>
        <w:t xml:space="preserve">para o gênero masculino </w:t>
      </w:r>
      <w:r w:rsidRPr="00B81DBC">
        <w:rPr>
          <w:rFonts w:ascii="Arial" w:hAnsi="Arial" w:cs="Arial"/>
        </w:rPr>
        <w:t>e</w:t>
      </w:r>
      <w:r w:rsidR="004C1B26">
        <w:rPr>
          <w:rFonts w:ascii="Arial" w:hAnsi="Arial" w:cs="Arial"/>
        </w:rPr>
        <w:t xml:space="preserve"> &lt;</w:t>
      </w:r>
      <w:r w:rsidRPr="00B81DBC">
        <w:rPr>
          <w:rFonts w:ascii="Arial" w:hAnsi="Arial" w:cs="Arial"/>
        </w:rPr>
        <w:t>12 g/dL</w:t>
      </w:r>
      <w:r w:rsidR="004C1B26">
        <w:rPr>
          <w:rFonts w:ascii="Arial" w:hAnsi="Arial" w:cs="Arial"/>
        </w:rPr>
        <w:t xml:space="preserve"> para o gênero feminino</w:t>
      </w:r>
      <w:r w:rsidRPr="00B81DBC">
        <w:rPr>
          <w:rFonts w:ascii="Arial" w:hAnsi="Arial" w:cs="Arial"/>
        </w:rPr>
        <w:t xml:space="preserve">. </w:t>
      </w:r>
      <w:r w:rsidR="00052A91" w:rsidRPr="00FB6249">
        <w:rPr>
          <w:rFonts w:ascii="Arial" w:hAnsi="Arial" w:cs="Arial"/>
        </w:rPr>
        <w:t>Nesse cen</w:t>
      </w:r>
      <w:r w:rsidR="00EB79FB" w:rsidRPr="00FB6249">
        <w:rPr>
          <w:rFonts w:ascii="Arial" w:hAnsi="Arial" w:cs="Arial"/>
        </w:rPr>
        <w:t>ário,</w:t>
      </w:r>
      <w:r w:rsidR="002E23BB">
        <w:rPr>
          <w:rFonts w:ascii="Arial" w:hAnsi="Arial" w:cs="Arial"/>
        </w:rPr>
        <w:t xml:space="preserve"> </w:t>
      </w:r>
      <w:r w:rsidR="00235A18">
        <w:rPr>
          <w:rFonts w:ascii="Arial" w:hAnsi="Arial" w:cs="Arial"/>
        </w:rPr>
        <w:t xml:space="preserve">quanto à anemia ferropriva e sua etiologia, </w:t>
      </w:r>
      <w:r w:rsidR="006B641F">
        <w:rPr>
          <w:rFonts w:ascii="Arial" w:hAnsi="Arial" w:cs="Arial"/>
        </w:rPr>
        <w:t>os fatores determinantes referem-se à</w:t>
      </w:r>
      <w:r w:rsidR="002E23BB">
        <w:rPr>
          <w:rFonts w:ascii="Arial" w:hAnsi="Arial" w:cs="Arial"/>
        </w:rPr>
        <w:t xml:space="preserve"> </w:t>
      </w:r>
      <w:r w:rsidR="00B2247D" w:rsidRPr="00FB6249">
        <w:rPr>
          <w:rFonts w:ascii="Arial" w:hAnsi="Arial" w:cs="Arial"/>
        </w:rPr>
        <w:t>ingestão insuficiente de ferro para atender às necessidades do organismo</w:t>
      </w:r>
      <w:r w:rsidR="006B641F">
        <w:rPr>
          <w:rFonts w:ascii="Arial" w:hAnsi="Arial" w:cs="Arial"/>
        </w:rPr>
        <w:t xml:space="preserve"> que pode se agravar por possíveis </w:t>
      </w:r>
      <w:r w:rsidR="00DF3BE4" w:rsidRPr="00FB6249">
        <w:rPr>
          <w:rFonts w:ascii="Arial" w:hAnsi="Arial" w:cs="Arial"/>
        </w:rPr>
        <w:t>perda</w:t>
      </w:r>
      <w:r w:rsidR="006B641F">
        <w:rPr>
          <w:rFonts w:ascii="Arial" w:hAnsi="Arial" w:cs="Arial"/>
        </w:rPr>
        <w:t>s</w:t>
      </w:r>
      <w:r w:rsidR="00DF3BE4" w:rsidRPr="00FB6249">
        <w:rPr>
          <w:rFonts w:ascii="Arial" w:hAnsi="Arial" w:cs="Arial"/>
        </w:rPr>
        <w:t xml:space="preserve"> crônica</w:t>
      </w:r>
      <w:r w:rsidR="006B641F">
        <w:rPr>
          <w:rFonts w:ascii="Arial" w:hAnsi="Arial" w:cs="Arial"/>
        </w:rPr>
        <w:t>s</w:t>
      </w:r>
      <w:r w:rsidR="00DF3BE4" w:rsidRPr="00FB6249">
        <w:rPr>
          <w:rFonts w:ascii="Arial" w:hAnsi="Arial" w:cs="Arial"/>
        </w:rPr>
        <w:t xml:space="preserve"> de sangue </w:t>
      </w:r>
      <w:r w:rsidR="006B641F">
        <w:rPr>
          <w:rFonts w:ascii="Arial" w:hAnsi="Arial" w:cs="Arial"/>
        </w:rPr>
        <w:t>advindas de</w:t>
      </w:r>
      <w:r w:rsidR="002E23BB">
        <w:rPr>
          <w:rFonts w:ascii="Arial" w:hAnsi="Arial" w:cs="Arial"/>
        </w:rPr>
        <w:t xml:space="preserve"> </w:t>
      </w:r>
      <w:r w:rsidR="006B641F">
        <w:rPr>
          <w:rFonts w:ascii="Arial" w:hAnsi="Arial" w:cs="Arial"/>
        </w:rPr>
        <w:t>doenças do</w:t>
      </w:r>
      <w:r w:rsidR="00DF3BE4" w:rsidRPr="00FB6249">
        <w:rPr>
          <w:rFonts w:ascii="Arial" w:hAnsi="Arial" w:cs="Arial"/>
        </w:rPr>
        <w:t xml:space="preserve"> trato gastrointestinal</w:t>
      </w:r>
      <w:r w:rsidR="002E23BB">
        <w:rPr>
          <w:rFonts w:ascii="Arial" w:hAnsi="Arial" w:cs="Arial"/>
        </w:rPr>
        <w:t xml:space="preserve"> </w:t>
      </w:r>
      <w:r w:rsidR="004154BA" w:rsidRPr="00FB6249">
        <w:rPr>
          <w:rFonts w:ascii="Arial" w:hAnsi="Arial" w:cs="Arial"/>
        </w:rPr>
        <w:t>(</w:t>
      </w:r>
      <w:r w:rsidR="00F86665" w:rsidRPr="00FB6249">
        <w:rPr>
          <w:rFonts w:ascii="Arial" w:hAnsi="Arial" w:cs="Arial"/>
        </w:rPr>
        <w:t>WHO, 2001</w:t>
      </w:r>
      <w:r w:rsidR="00F86665">
        <w:rPr>
          <w:rFonts w:ascii="Arial" w:hAnsi="Arial" w:cs="Arial"/>
        </w:rPr>
        <w:t>; BALDUCCI, 2003</w:t>
      </w:r>
      <w:r w:rsidR="004154BA" w:rsidRPr="00FB6249">
        <w:rPr>
          <w:rFonts w:ascii="Arial" w:hAnsi="Arial" w:cs="Arial"/>
        </w:rPr>
        <w:t>).</w:t>
      </w:r>
    </w:p>
    <w:p w14:paraId="45FEDA2B" w14:textId="77777777" w:rsidR="00DB07F1" w:rsidRPr="00FB6249" w:rsidRDefault="005C2EEA" w:rsidP="00F26B43">
      <w:pPr>
        <w:spacing w:after="120" w:line="26" w:lineRule="atLeast"/>
        <w:ind w:firstLine="567"/>
        <w:jc w:val="both"/>
        <w:rPr>
          <w:rFonts w:ascii="Arial" w:hAnsi="Arial" w:cs="Arial"/>
        </w:rPr>
      </w:pPr>
      <w:r w:rsidRPr="00FB6249">
        <w:rPr>
          <w:rFonts w:ascii="Arial" w:hAnsi="Arial" w:cs="Arial"/>
        </w:rPr>
        <w:lastRenderedPageBreak/>
        <w:t xml:space="preserve">Visando </w:t>
      </w:r>
      <w:r w:rsidR="00D172C2">
        <w:rPr>
          <w:rFonts w:ascii="Arial" w:hAnsi="Arial" w:cs="Arial"/>
        </w:rPr>
        <w:t>identificar e preencher lacunas relacionadas à temática</w:t>
      </w:r>
      <w:r w:rsidR="00C635B0">
        <w:rPr>
          <w:rFonts w:ascii="Arial" w:hAnsi="Arial" w:cs="Arial"/>
        </w:rPr>
        <w:t>,</w:t>
      </w:r>
      <w:r w:rsidR="002E23BB">
        <w:rPr>
          <w:rFonts w:ascii="Arial" w:hAnsi="Arial" w:cs="Arial"/>
        </w:rPr>
        <w:t xml:space="preserve"> </w:t>
      </w:r>
      <w:r w:rsidRPr="00FB6249">
        <w:rPr>
          <w:rFonts w:ascii="Arial" w:hAnsi="Arial" w:cs="Arial"/>
        </w:rPr>
        <w:t>o presente trabalho tem como objetivo</w:t>
      </w:r>
      <w:r w:rsidR="00952DA3" w:rsidRPr="00FB6249">
        <w:rPr>
          <w:rFonts w:ascii="Arial" w:hAnsi="Arial" w:cs="Arial"/>
        </w:rPr>
        <w:t xml:space="preserve"> realizar uma revisão na literatura</w:t>
      </w:r>
      <w:r w:rsidR="00395821">
        <w:rPr>
          <w:rFonts w:ascii="Arial" w:hAnsi="Arial" w:cs="Arial"/>
        </w:rPr>
        <w:t xml:space="preserve"> para avaliar a</w:t>
      </w:r>
      <w:r w:rsidR="00395821" w:rsidRPr="00FB6249">
        <w:rPr>
          <w:rFonts w:ascii="Arial" w:hAnsi="Arial" w:cs="Arial"/>
        </w:rPr>
        <w:t xml:space="preserve"> prevalência e fatores associados à anemia ferropriva em idosos no </w:t>
      </w:r>
      <w:r w:rsidR="00395821">
        <w:rPr>
          <w:rFonts w:ascii="Arial" w:hAnsi="Arial" w:cs="Arial"/>
        </w:rPr>
        <w:t>Brasil</w:t>
      </w:r>
      <w:r w:rsidR="009F2C28">
        <w:rPr>
          <w:rFonts w:ascii="Arial" w:hAnsi="Arial" w:cs="Arial"/>
        </w:rPr>
        <w:t>.</w:t>
      </w:r>
    </w:p>
    <w:p w14:paraId="5D047105" w14:textId="77777777" w:rsidR="0044291A" w:rsidRPr="00FB6249" w:rsidRDefault="0044291A" w:rsidP="00FB6249">
      <w:pPr>
        <w:pStyle w:val="Default"/>
        <w:spacing w:after="120" w:line="26" w:lineRule="atLeast"/>
        <w:jc w:val="both"/>
        <w:rPr>
          <w:rFonts w:ascii="Arial" w:hAnsi="Arial" w:cs="Arial"/>
          <w:color w:val="auto"/>
          <w:sz w:val="22"/>
          <w:szCs w:val="22"/>
        </w:rPr>
      </w:pPr>
    </w:p>
    <w:p w14:paraId="0E70BF03" w14:textId="77777777" w:rsidR="008B5DDE" w:rsidRPr="00FB6249" w:rsidRDefault="00BA1370" w:rsidP="00FB6249">
      <w:pPr>
        <w:pStyle w:val="PargrafodaLista"/>
        <w:numPr>
          <w:ilvl w:val="0"/>
          <w:numId w:val="11"/>
        </w:numPr>
        <w:spacing w:after="200" w:line="26" w:lineRule="atLeast"/>
        <w:rPr>
          <w:rFonts w:ascii="Arial" w:hAnsi="Arial" w:cs="Arial"/>
        </w:rPr>
      </w:pPr>
      <w:r w:rsidRPr="00FB6249">
        <w:rPr>
          <w:rFonts w:ascii="Arial" w:hAnsi="Arial" w:cs="Arial"/>
          <w:b/>
        </w:rPr>
        <w:t>METODOLOGIA</w:t>
      </w:r>
    </w:p>
    <w:p w14:paraId="03C47F6C" w14:textId="77777777" w:rsidR="00767058" w:rsidRDefault="00767058" w:rsidP="0018723D">
      <w:pPr>
        <w:pStyle w:val="Default"/>
        <w:spacing w:after="120" w:line="26" w:lineRule="atLeast"/>
        <w:ind w:left="66" w:firstLine="501"/>
        <w:jc w:val="both"/>
        <w:rPr>
          <w:rFonts w:ascii="Arial" w:hAnsi="Arial" w:cs="Arial"/>
          <w:color w:val="auto"/>
          <w:sz w:val="22"/>
          <w:szCs w:val="22"/>
        </w:rPr>
      </w:pPr>
    </w:p>
    <w:p w14:paraId="165C82AD" w14:textId="77777777" w:rsidR="00321565" w:rsidRDefault="00B62FB0" w:rsidP="0018723D">
      <w:pPr>
        <w:pStyle w:val="Default"/>
        <w:spacing w:after="120" w:line="26" w:lineRule="atLeast"/>
        <w:ind w:left="66" w:firstLine="501"/>
        <w:jc w:val="both"/>
        <w:rPr>
          <w:rFonts w:ascii="Arial" w:hAnsi="Arial" w:cs="Arial"/>
          <w:color w:val="auto"/>
          <w:sz w:val="22"/>
          <w:szCs w:val="22"/>
        </w:rPr>
      </w:pPr>
      <w:r w:rsidRPr="00FB6249">
        <w:rPr>
          <w:rFonts w:ascii="Arial" w:hAnsi="Arial" w:cs="Arial"/>
          <w:color w:val="auto"/>
          <w:sz w:val="22"/>
          <w:szCs w:val="22"/>
        </w:rPr>
        <w:t xml:space="preserve">Foi realizada uma revisão </w:t>
      </w:r>
      <w:r w:rsidR="00F26B43">
        <w:rPr>
          <w:rFonts w:ascii="Arial" w:hAnsi="Arial" w:cs="Arial"/>
          <w:color w:val="auto"/>
          <w:sz w:val="22"/>
          <w:szCs w:val="22"/>
        </w:rPr>
        <w:t xml:space="preserve">na literatura entre 2005 e 2016 </w:t>
      </w:r>
      <w:r w:rsidRPr="00FB6249">
        <w:rPr>
          <w:rFonts w:ascii="Arial" w:hAnsi="Arial" w:cs="Arial"/>
          <w:color w:val="auto"/>
          <w:sz w:val="22"/>
          <w:szCs w:val="22"/>
        </w:rPr>
        <w:t>nas bases de dados SciELO (</w:t>
      </w:r>
      <w:r w:rsidRPr="00FC3681">
        <w:rPr>
          <w:rFonts w:ascii="Arial" w:hAnsi="Arial" w:cs="Arial"/>
          <w:i/>
          <w:color w:val="auto"/>
          <w:sz w:val="22"/>
          <w:szCs w:val="22"/>
        </w:rPr>
        <w:t>Scientific</w:t>
      </w:r>
      <w:r w:rsidRPr="00D6132E">
        <w:rPr>
          <w:rFonts w:ascii="Arial" w:hAnsi="Arial" w:cs="Arial"/>
          <w:i/>
          <w:color w:val="auto"/>
          <w:sz w:val="22"/>
          <w:szCs w:val="22"/>
        </w:rPr>
        <w:t xml:space="preserve"> Eletronic Library Online</w:t>
      </w:r>
      <w:r w:rsidRPr="00FB6249">
        <w:rPr>
          <w:rFonts w:ascii="Arial" w:hAnsi="Arial" w:cs="Arial"/>
          <w:color w:val="auto"/>
          <w:sz w:val="22"/>
          <w:szCs w:val="22"/>
        </w:rPr>
        <w:t xml:space="preserve">), Google Acadêmico e Portal </w:t>
      </w:r>
      <w:r w:rsidR="00CE0833" w:rsidRPr="00FB6249">
        <w:rPr>
          <w:rFonts w:ascii="Arial" w:hAnsi="Arial" w:cs="Arial"/>
          <w:color w:val="auto"/>
          <w:sz w:val="22"/>
          <w:szCs w:val="22"/>
        </w:rPr>
        <w:t>CAPES</w:t>
      </w:r>
      <w:r w:rsidRPr="00FB6249">
        <w:rPr>
          <w:rFonts w:ascii="Arial" w:hAnsi="Arial" w:cs="Arial"/>
          <w:color w:val="auto"/>
          <w:sz w:val="22"/>
          <w:szCs w:val="22"/>
        </w:rPr>
        <w:t>, sendo a busca realizada por meio da utilização das palavras-</w:t>
      </w:r>
      <w:r w:rsidRPr="00F70AC0">
        <w:rPr>
          <w:rFonts w:ascii="Arial" w:hAnsi="Arial" w:cs="Arial"/>
          <w:color w:val="auto"/>
          <w:sz w:val="22"/>
          <w:szCs w:val="22"/>
        </w:rPr>
        <w:t>chave</w:t>
      </w:r>
      <w:r w:rsidR="000307A3" w:rsidRPr="00F70AC0">
        <w:rPr>
          <w:rFonts w:ascii="Arial" w:hAnsi="Arial" w:cs="Arial"/>
          <w:color w:val="auto"/>
          <w:sz w:val="22"/>
          <w:szCs w:val="22"/>
        </w:rPr>
        <w:t xml:space="preserve"> adotadas após consenso entre os autores:</w:t>
      </w:r>
      <w:r w:rsidRPr="00F70AC0">
        <w:rPr>
          <w:rFonts w:ascii="Arial" w:hAnsi="Arial" w:cs="Arial"/>
          <w:color w:val="auto"/>
          <w:sz w:val="22"/>
          <w:szCs w:val="22"/>
        </w:rPr>
        <w:t xml:space="preserve"> “anemia</w:t>
      </w:r>
      <w:r w:rsidR="00CE0833" w:rsidRPr="00F70AC0">
        <w:rPr>
          <w:rFonts w:ascii="Arial" w:hAnsi="Arial" w:cs="Arial"/>
          <w:color w:val="auto"/>
          <w:sz w:val="22"/>
          <w:szCs w:val="22"/>
        </w:rPr>
        <w:t>”, “idoso”, “anemia no</w:t>
      </w:r>
      <w:r w:rsidRPr="00F70AC0">
        <w:rPr>
          <w:rFonts w:ascii="Arial" w:hAnsi="Arial" w:cs="Arial"/>
          <w:color w:val="auto"/>
          <w:sz w:val="22"/>
          <w:szCs w:val="22"/>
        </w:rPr>
        <w:t xml:space="preserve"> idoso</w:t>
      </w:r>
      <w:r w:rsidR="00CE0833" w:rsidRPr="00F70AC0">
        <w:rPr>
          <w:rFonts w:ascii="Arial" w:hAnsi="Arial" w:cs="Arial"/>
          <w:color w:val="auto"/>
          <w:sz w:val="22"/>
          <w:szCs w:val="22"/>
        </w:rPr>
        <w:t>”,</w:t>
      </w:r>
      <w:r w:rsidRPr="00F70AC0">
        <w:rPr>
          <w:rFonts w:ascii="Arial" w:hAnsi="Arial" w:cs="Arial"/>
          <w:color w:val="auto"/>
          <w:sz w:val="22"/>
          <w:szCs w:val="22"/>
        </w:rPr>
        <w:t xml:space="preserve"> “</w:t>
      </w:r>
      <w:r w:rsidR="00BD3B1D" w:rsidRPr="00F70AC0">
        <w:rPr>
          <w:rFonts w:ascii="Arial" w:hAnsi="Arial" w:cs="Arial"/>
          <w:color w:val="auto"/>
          <w:sz w:val="22"/>
          <w:szCs w:val="22"/>
        </w:rPr>
        <w:t xml:space="preserve">consumo de </w:t>
      </w:r>
      <w:r w:rsidR="00BD3B1D" w:rsidRPr="00FB6249">
        <w:rPr>
          <w:rFonts w:ascii="Arial" w:hAnsi="Arial" w:cs="Arial"/>
          <w:color w:val="auto"/>
          <w:sz w:val="22"/>
          <w:szCs w:val="22"/>
        </w:rPr>
        <w:t xml:space="preserve">ferro por </w:t>
      </w:r>
      <w:r w:rsidRPr="00FB6249">
        <w:rPr>
          <w:rFonts w:ascii="Arial" w:hAnsi="Arial" w:cs="Arial"/>
          <w:color w:val="auto"/>
          <w:sz w:val="22"/>
          <w:szCs w:val="22"/>
        </w:rPr>
        <w:t>idosos”</w:t>
      </w:r>
      <w:r w:rsidR="00CE0833" w:rsidRPr="00FB6249">
        <w:rPr>
          <w:rFonts w:ascii="Arial" w:hAnsi="Arial" w:cs="Arial"/>
          <w:color w:val="auto"/>
          <w:sz w:val="22"/>
          <w:szCs w:val="22"/>
        </w:rPr>
        <w:t xml:space="preserve"> e “hemoglobina em idosos”</w:t>
      </w:r>
      <w:r w:rsidRPr="00FB6249">
        <w:rPr>
          <w:rFonts w:ascii="Arial" w:hAnsi="Arial" w:cs="Arial"/>
          <w:color w:val="auto"/>
          <w:sz w:val="22"/>
          <w:szCs w:val="22"/>
        </w:rPr>
        <w:t xml:space="preserve">. </w:t>
      </w:r>
    </w:p>
    <w:p w14:paraId="643B5ED9" w14:textId="05E15B47" w:rsidR="00FC3681" w:rsidRDefault="00B62FB0" w:rsidP="00D24849">
      <w:pPr>
        <w:pStyle w:val="Default"/>
        <w:spacing w:after="120" w:line="26" w:lineRule="atLeast"/>
        <w:ind w:left="66" w:firstLine="501"/>
        <w:jc w:val="both"/>
        <w:rPr>
          <w:rFonts w:ascii="Arial" w:hAnsi="Arial" w:cs="Arial"/>
          <w:color w:val="auto"/>
          <w:sz w:val="22"/>
          <w:szCs w:val="22"/>
        </w:rPr>
      </w:pPr>
      <w:r w:rsidRPr="00FB6249">
        <w:rPr>
          <w:rFonts w:ascii="Arial" w:hAnsi="Arial" w:cs="Arial"/>
          <w:color w:val="auto"/>
          <w:sz w:val="22"/>
          <w:szCs w:val="22"/>
        </w:rPr>
        <w:t xml:space="preserve">Foram excluídos artigos internacionais e artigos de revisão, sendo considerados apenas artigos nacionais que </w:t>
      </w:r>
      <w:r w:rsidR="00D14887" w:rsidRPr="00FB6249">
        <w:rPr>
          <w:rFonts w:ascii="Arial" w:hAnsi="Arial" w:cs="Arial"/>
          <w:color w:val="auto"/>
          <w:sz w:val="22"/>
          <w:szCs w:val="22"/>
        </w:rPr>
        <w:t xml:space="preserve">fizeram análise bioquímica de hemoglobina </w:t>
      </w:r>
      <w:r w:rsidR="00D14887">
        <w:rPr>
          <w:rFonts w:ascii="Arial" w:hAnsi="Arial" w:cs="Arial"/>
          <w:color w:val="auto"/>
          <w:sz w:val="22"/>
          <w:szCs w:val="22"/>
        </w:rPr>
        <w:t xml:space="preserve">ou </w:t>
      </w:r>
      <w:r w:rsidRPr="00FB6249">
        <w:rPr>
          <w:rFonts w:ascii="Arial" w:hAnsi="Arial" w:cs="Arial"/>
          <w:color w:val="auto"/>
          <w:sz w:val="22"/>
          <w:szCs w:val="22"/>
        </w:rPr>
        <w:t>avaliaram o consumo de ferro</w:t>
      </w:r>
      <w:r w:rsidR="00D14887">
        <w:rPr>
          <w:rFonts w:ascii="Arial" w:hAnsi="Arial" w:cs="Arial"/>
          <w:color w:val="auto"/>
          <w:sz w:val="22"/>
          <w:szCs w:val="22"/>
        </w:rPr>
        <w:t xml:space="preserve">, </w:t>
      </w:r>
      <w:r w:rsidRPr="00FB6249">
        <w:rPr>
          <w:rFonts w:ascii="Arial" w:hAnsi="Arial" w:cs="Arial"/>
          <w:color w:val="auto"/>
          <w:sz w:val="22"/>
          <w:szCs w:val="22"/>
        </w:rPr>
        <w:t xml:space="preserve">visando analisar a prevalência </w:t>
      </w:r>
      <w:r w:rsidR="0005341D">
        <w:rPr>
          <w:rFonts w:ascii="Arial" w:hAnsi="Arial" w:cs="Arial"/>
          <w:color w:val="auto"/>
          <w:sz w:val="22"/>
          <w:szCs w:val="22"/>
        </w:rPr>
        <w:t>da</w:t>
      </w:r>
      <w:r w:rsidRPr="00FB6249">
        <w:rPr>
          <w:rFonts w:ascii="Arial" w:hAnsi="Arial" w:cs="Arial"/>
          <w:color w:val="auto"/>
          <w:sz w:val="22"/>
          <w:szCs w:val="22"/>
        </w:rPr>
        <w:t xml:space="preserve"> anemia ferropriva </w:t>
      </w:r>
      <w:r w:rsidR="004C1B26">
        <w:rPr>
          <w:rFonts w:ascii="Arial" w:hAnsi="Arial" w:cs="Arial"/>
          <w:color w:val="auto"/>
          <w:sz w:val="22"/>
          <w:szCs w:val="22"/>
        </w:rPr>
        <w:t xml:space="preserve">e os fatores associados </w:t>
      </w:r>
      <w:r w:rsidR="0005341D">
        <w:rPr>
          <w:rFonts w:ascii="Arial" w:hAnsi="Arial" w:cs="Arial"/>
          <w:color w:val="auto"/>
          <w:sz w:val="22"/>
          <w:szCs w:val="22"/>
        </w:rPr>
        <w:t>nesse grupo considerado vulnerável</w:t>
      </w:r>
      <w:r w:rsidRPr="00FB6249">
        <w:rPr>
          <w:rFonts w:ascii="Arial" w:hAnsi="Arial" w:cs="Arial"/>
          <w:color w:val="auto"/>
          <w:sz w:val="22"/>
          <w:szCs w:val="22"/>
        </w:rPr>
        <w:t>.</w:t>
      </w:r>
      <w:r w:rsidR="002E23BB">
        <w:rPr>
          <w:rFonts w:ascii="Arial" w:hAnsi="Arial" w:cs="Arial"/>
          <w:color w:val="auto"/>
          <w:sz w:val="22"/>
          <w:szCs w:val="22"/>
        </w:rPr>
        <w:t xml:space="preserve"> </w:t>
      </w:r>
    </w:p>
    <w:p w14:paraId="139E83D2" w14:textId="77BF6C81" w:rsidR="00FC3681" w:rsidRDefault="000C374F" w:rsidP="00D24849">
      <w:pPr>
        <w:pStyle w:val="Default"/>
        <w:spacing w:after="120" w:line="26" w:lineRule="atLeast"/>
        <w:ind w:left="66" w:firstLine="501"/>
        <w:jc w:val="both"/>
        <w:rPr>
          <w:rFonts w:ascii="Arial" w:hAnsi="Arial" w:cs="Arial"/>
          <w:color w:val="auto"/>
          <w:sz w:val="22"/>
          <w:szCs w:val="22"/>
        </w:rPr>
      </w:pPr>
      <w:r>
        <w:rPr>
          <w:rFonts w:ascii="Arial" w:hAnsi="Arial" w:cs="Arial"/>
          <w:color w:val="auto"/>
          <w:sz w:val="22"/>
          <w:szCs w:val="22"/>
        </w:rPr>
        <w:t>Para determinação da prevalência de anemia ferropriva serão utilizados os</w:t>
      </w:r>
      <w:r w:rsidR="00FC3681">
        <w:rPr>
          <w:rFonts w:ascii="Arial" w:hAnsi="Arial" w:cs="Arial"/>
          <w:color w:val="auto"/>
          <w:sz w:val="22"/>
          <w:szCs w:val="22"/>
        </w:rPr>
        <w:t xml:space="preserve"> critérios propostos pela OMS (2008), </w:t>
      </w:r>
      <w:r>
        <w:rPr>
          <w:rFonts w:ascii="Arial" w:hAnsi="Arial" w:cs="Arial"/>
          <w:color w:val="auto"/>
          <w:sz w:val="22"/>
          <w:szCs w:val="22"/>
        </w:rPr>
        <w:t xml:space="preserve">sendo, </w:t>
      </w:r>
      <w:r w:rsidR="00FC3681">
        <w:rPr>
          <w:rFonts w:ascii="Arial" w:hAnsi="Arial" w:cs="Arial"/>
          <w:color w:val="auto"/>
          <w:sz w:val="22"/>
          <w:szCs w:val="22"/>
        </w:rPr>
        <w:t>valores inferiores a 13 g/dL para homens e 12 g/dL para as mulheres</w:t>
      </w:r>
      <w:r w:rsidR="000C4863">
        <w:rPr>
          <w:rFonts w:ascii="Arial" w:hAnsi="Arial" w:cs="Arial"/>
          <w:color w:val="auto"/>
          <w:sz w:val="22"/>
          <w:szCs w:val="22"/>
        </w:rPr>
        <w:t xml:space="preserve"> para </w:t>
      </w:r>
      <w:r>
        <w:rPr>
          <w:rFonts w:ascii="Arial" w:hAnsi="Arial" w:cs="Arial"/>
          <w:color w:val="auto"/>
          <w:sz w:val="22"/>
          <w:szCs w:val="22"/>
        </w:rPr>
        <w:t>o diagnóstico d</w:t>
      </w:r>
      <w:r w:rsidR="00FC3681">
        <w:rPr>
          <w:rFonts w:ascii="Arial" w:hAnsi="Arial" w:cs="Arial"/>
          <w:color w:val="auto"/>
          <w:sz w:val="22"/>
          <w:szCs w:val="22"/>
        </w:rPr>
        <w:t>e anemia nos idosos. Quanto ao consumo de ferro, os artigos avaliaram de acordo com</w:t>
      </w:r>
      <w:r w:rsidR="000C4863">
        <w:rPr>
          <w:rFonts w:ascii="Arial" w:hAnsi="Arial" w:cs="Arial"/>
          <w:color w:val="auto"/>
          <w:sz w:val="22"/>
          <w:szCs w:val="22"/>
        </w:rPr>
        <w:t xml:space="preserve"> </w:t>
      </w:r>
      <w:r w:rsidR="00864B2D">
        <w:rPr>
          <w:rFonts w:ascii="Arial" w:hAnsi="Arial" w:cs="Arial"/>
          <w:color w:val="auto"/>
          <w:sz w:val="22"/>
          <w:szCs w:val="22"/>
        </w:rPr>
        <w:t>a</w:t>
      </w:r>
      <w:r w:rsidR="00FC3681">
        <w:rPr>
          <w:rFonts w:ascii="Arial" w:hAnsi="Arial" w:cs="Arial"/>
          <w:color w:val="auto"/>
          <w:sz w:val="22"/>
          <w:szCs w:val="22"/>
        </w:rPr>
        <w:t xml:space="preserve">s recomendações para a idade propostas pelas Dietary Reference Intakes (DRI) </w:t>
      </w:r>
      <w:r w:rsidR="000F32FE">
        <w:rPr>
          <w:rFonts w:ascii="Arial" w:hAnsi="Arial" w:cs="Arial"/>
          <w:color w:val="auto"/>
          <w:sz w:val="22"/>
          <w:szCs w:val="22"/>
        </w:rPr>
        <w:t xml:space="preserve">em quantidade (mg) ou percentual (%) de ingestão </w:t>
      </w:r>
      <w:r w:rsidR="00FC3681">
        <w:rPr>
          <w:rFonts w:ascii="Arial" w:hAnsi="Arial" w:cs="Arial"/>
          <w:color w:val="auto"/>
          <w:sz w:val="22"/>
          <w:szCs w:val="22"/>
        </w:rPr>
        <w:t>(IOM, 2002).</w:t>
      </w:r>
    </w:p>
    <w:p w14:paraId="476C50FB" w14:textId="3445FDCF" w:rsidR="000C4863" w:rsidRDefault="000C4863" w:rsidP="00D24849">
      <w:pPr>
        <w:pStyle w:val="Default"/>
        <w:spacing w:after="120" w:line="26" w:lineRule="atLeast"/>
        <w:ind w:left="66" w:firstLine="501"/>
        <w:jc w:val="both"/>
        <w:rPr>
          <w:rFonts w:ascii="Arial" w:hAnsi="Arial" w:cs="Arial"/>
          <w:color w:val="auto"/>
          <w:sz w:val="22"/>
          <w:szCs w:val="22"/>
        </w:rPr>
      </w:pPr>
    </w:p>
    <w:p w14:paraId="108B60DB" w14:textId="20FA351D" w:rsidR="00A906CB" w:rsidRPr="004C1B26" w:rsidRDefault="00FC3681" w:rsidP="00FB6249">
      <w:pPr>
        <w:pStyle w:val="Default"/>
        <w:numPr>
          <w:ilvl w:val="0"/>
          <w:numId w:val="11"/>
        </w:numPr>
        <w:spacing w:after="120" w:line="26" w:lineRule="atLeast"/>
        <w:jc w:val="both"/>
        <w:rPr>
          <w:rFonts w:ascii="Arial" w:hAnsi="Arial" w:cs="Arial"/>
          <w:color w:val="auto"/>
          <w:sz w:val="22"/>
          <w:szCs w:val="22"/>
        </w:rPr>
      </w:pPr>
      <w:r w:rsidDel="00FC3681">
        <w:rPr>
          <w:rFonts w:ascii="Arial" w:hAnsi="Arial" w:cs="Arial"/>
          <w:color w:val="auto"/>
          <w:sz w:val="22"/>
          <w:szCs w:val="22"/>
        </w:rPr>
        <w:t xml:space="preserve"> </w:t>
      </w:r>
      <w:r w:rsidR="004C1BE7" w:rsidRPr="00FB6249">
        <w:rPr>
          <w:rFonts w:ascii="Arial" w:hAnsi="Arial" w:cs="Arial"/>
          <w:b/>
          <w:color w:val="auto"/>
          <w:sz w:val="22"/>
          <w:szCs w:val="22"/>
        </w:rPr>
        <w:t>RESULTADOS E DISCUSSÃO</w:t>
      </w:r>
    </w:p>
    <w:p w14:paraId="5E15C21B" w14:textId="77777777" w:rsidR="00767058" w:rsidRPr="00FB6249" w:rsidRDefault="00767058" w:rsidP="004C1B26">
      <w:pPr>
        <w:pStyle w:val="Default"/>
        <w:spacing w:after="120" w:line="26" w:lineRule="atLeast"/>
        <w:ind w:left="720"/>
        <w:jc w:val="both"/>
        <w:rPr>
          <w:rFonts w:ascii="Arial" w:hAnsi="Arial" w:cs="Arial"/>
          <w:color w:val="auto"/>
          <w:sz w:val="22"/>
          <w:szCs w:val="22"/>
        </w:rPr>
      </w:pPr>
    </w:p>
    <w:p w14:paraId="2C7E0E54" w14:textId="2C83E0AE" w:rsidR="00400E22" w:rsidRDefault="00C74248">
      <w:pPr>
        <w:pStyle w:val="Default"/>
        <w:spacing w:after="120" w:line="26" w:lineRule="atLeast"/>
        <w:ind w:left="66" w:firstLine="501"/>
        <w:jc w:val="both"/>
        <w:rPr>
          <w:rFonts w:ascii="Arial" w:hAnsi="Arial" w:cs="Arial"/>
          <w:sz w:val="22"/>
          <w:szCs w:val="22"/>
        </w:rPr>
      </w:pPr>
      <w:r w:rsidRPr="00FB6249">
        <w:rPr>
          <w:rFonts w:ascii="Arial" w:hAnsi="Arial" w:cs="Arial"/>
          <w:color w:val="auto"/>
          <w:sz w:val="22"/>
          <w:szCs w:val="22"/>
        </w:rPr>
        <w:t>Foram identificados 1</w:t>
      </w:r>
      <w:r w:rsidR="00904040" w:rsidRPr="00FB6249">
        <w:rPr>
          <w:rFonts w:ascii="Arial" w:hAnsi="Arial" w:cs="Arial"/>
          <w:color w:val="auto"/>
          <w:sz w:val="22"/>
          <w:szCs w:val="22"/>
        </w:rPr>
        <w:t>5</w:t>
      </w:r>
      <w:r w:rsidR="00CA5556" w:rsidRPr="00FB6249">
        <w:rPr>
          <w:rFonts w:ascii="Arial" w:hAnsi="Arial" w:cs="Arial"/>
          <w:color w:val="auto"/>
          <w:sz w:val="22"/>
          <w:szCs w:val="22"/>
        </w:rPr>
        <w:t xml:space="preserve"> estudos </w:t>
      </w:r>
      <w:r w:rsidR="00FD63A1">
        <w:rPr>
          <w:rFonts w:ascii="Arial" w:hAnsi="Arial" w:cs="Arial"/>
          <w:color w:val="auto"/>
          <w:sz w:val="22"/>
          <w:szCs w:val="22"/>
        </w:rPr>
        <w:t xml:space="preserve">realizados </w:t>
      </w:r>
      <w:r w:rsidR="00CA5556" w:rsidRPr="00FB6249">
        <w:rPr>
          <w:rFonts w:ascii="Arial" w:hAnsi="Arial" w:cs="Arial"/>
          <w:color w:val="auto"/>
          <w:sz w:val="22"/>
          <w:szCs w:val="22"/>
        </w:rPr>
        <w:t xml:space="preserve">com idosos </w:t>
      </w:r>
      <w:r w:rsidR="00BE7326" w:rsidRPr="00DF31B6">
        <w:rPr>
          <w:rFonts w:ascii="Arial" w:hAnsi="Arial" w:cs="Arial"/>
          <w:color w:val="auto"/>
          <w:sz w:val="22"/>
          <w:szCs w:val="22"/>
        </w:rPr>
        <w:t>hospitalizados,</w:t>
      </w:r>
      <w:r w:rsidR="00D24849">
        <w:rPr>
          <w:rFonts w:ascii="Arial" w:hAnsi="Arial" w:cs="Arial"/>
          <w:color w:val="auto"/>
          <w:sz w:val="22"/>
          <w:szCs w:val="22"/>
        </w:rPr>
        <w:t xml:space="preserve"> </w:t>
      </w:r>
      <w:r w:rsidR="00106A4D" w:rsidRPr="008E5FE9">
        <w:rPr>
          <w:rFonts w:ascii="Arial" w:hAnsi="Arial" w:cs="Arial"/>
          <w:color w:val="auto"/>
          <w:sz w:val="22"/>
          <w:szCs w:val="22"/>
        </w:rPr>
        <w:t>institucionalizados</w:t>
      </w:r>
      <w:bookmarkStart w:id="3" w:name="_Toc474748081"/>
      <w:bookmarkEnd w:id="0"/>
      <w:r w:rsidR="00BE7326" w:rsidRPr="008E5FE9">
        <w:rPr>
          <w:rFonts w:ascii="Arial" w:hAnsi="Arial" w:cs="Arial"/>
          <w:color w:val="auto"/>
          <w:sz w:val="22"/>
          <w:szCs w:val="22"/>
        </w:rPr>
        <w:t xml:space="preserve">, </w:t>
      </w:r>
      <w:r w:rsidR="00FD63A1" w:rsidRPr="008E5FE9">
        <w:rPr>
          <w:rFonts w:ascii="Arial" w:hAnsi="Arial" w:cs="Arial"/>
          <w:color w:val="auto"/>
          <w:sz w:val="22"/>
          <w:szCs w:val="22"/>
        </w:rPr>
        <w:t>participantes</w:t>
      </w:r>
      <w:r w:rsidR="00FD63A1">
        <w:rPr>
          <w:rFonts w:ascii="Arial" w:hAnsi="Arial" w:cs="Arial"/>
          <w:color w:val="auto"/>
          <w:sz w:val="22"/>
          <w:szCs w:val="22"/>
        </w:rPr>
        <w:t xml:space="preserve"> de grupos comunitários locais</w:t>
      </w:r>
      <w:r w:rsidR="00D14887">
        <w:rPr>
          <w:rFonts w:ascii="Arial" w:hAnsi="Arial" w:cs="Arial"/>
          <w:color w:val="auto"/>
          <w:sz w:val="22"/>
          <w:szCs w:val="22"/>
        </w:rPr>
        <w:t xml:space="preserve"> ou de</w:t>
      </w:r>
      <w:r w:rsidR="00BE7326">
        <w:rPr>
          <w:rFonts w:ascii="Arial" w:hAnsi="Arial" w:cs="Arial"/>
          <w:color w:val="auto"/>
          <w:sz w:val="22"/>
          <w:szCs w:val="22"/>
        </w:rPr>
        <w:t xml:space="preserve"> amostras de estudos populacionais</w:t>
      </w:r>
      <w:r w:rsidR="00D14887">
        <w:rPr>
          <w:rFonts w:ascii="Arial" w:hAnsi="Arial" w:cs="Arial"/>
          <w:color w:val="auto"/>
          <w:sz w:val="22"/>
          <w:szCs w:val="22"/>
        </w:rPr>
        <w:t xml:space="preserve"> e os atendidos ambulatoriamente, </w:t>
      </w:r>
      <w:r w:rsidR="00C36047" w:rsidRPr="00FB6249">
        <w:rPr>
          <w:rFonts w:ascii="Arial" w:hAnsi="Arial" w:cs="Arial"/>
          <w:sz w:val="22"/>
          <w:szCs w:val="22"/>
        </w:rPr>
        <w:t>engloba</w:t>
      </w:r>
      <w:r w:rsidR="00D14887">
        <w:rPr>
          <w:rFonts w:ascii="Arial" w:hAnsi="Arial" w:cs="Arial"/>
          <w:sz w:val="22"/>
          <w:szCs w:val="22"/>
        </w:rPr>
        <w:t xml:space="preserve">ndo </w:t>
      </w:r>
      <w:r w:rsidR="00C36047" w:rsidRPr="00FB6249">
        <w:rPr>
          <w:rFonts w:ascii="Arial" w:hAnsi="Arial" w:cs="Arial"/>
          <w:sz w:val="22"/>
          <w:szCs w:val="22"/>
        </w:rPr>
        <w:t>quatro regiões do país (46,7% sudeste, 20,0% sul, 20,0% nordeste e 13,3% centro-oeste), com um total de 7</w:t>
      </w:r>
      <w:r w:rsidR="00FF0604">
        <w:rPr>
          <w:rFonts w:ascii="Arial" w:hAnsi="Arial" w:cs="Arial"/>
          <w:sz w:val="22"/>
          <w:szCs w:val="22"/>
        </w:rPr>
        <w:t>.</w:t>
      </w:r>
      <w:r w:rsidR="00C36047" w:rsidRPr="00FB6249">
        <w:rPr>
          <w:rFonts w:ascii="Arial" w:hAnsi="Arial" w:cs="Arial"/>
          <w:sz w:val="22"/>
          <w:szCs w:val="22"/>
        </w:rPr>
        <w:t>551 participantes</w:t>
      </w:r>
      <w:r w:rsidR="00CB5460">
        <w:rPr>
          <w:rFonts w:ascii="Arial" w:hAnsi="Arial" w:cs="Arial"/>
          <w:sz w:val="22"/>
          <w:szCs w:val="22"/>
        </w:rPr>
        <w:t xml:space="preserve">. </w:t>
      </w:r>
    </w:p>
    <w:p w14:paraId="41222ABE" w14:textId="12F9DBAD" w:rsidR="00C544E3" w:rsidRDefault="00CB5460">
      <w:pPr>
        <w:pStyle w:val="Default"/>
        <w:spacing w:after="120" w:line="26" w:lineRule="atLeast"/>
        <w:ind w:left="66" w:firstLine="501"/>
        <w:jc w:val="both"/>
        <w:rPr>
          <w:rFonts w:ascii="Arial" w:hAnsi="Arial" w:cs="Arial"/>
          <w:sz w:val="22"/>
          <w:szCs w:val="22"/>
        </w:rPr>
      </w:pPr>
      <w:r>
        <w:rPr>
          <w:rFonts w:ascii="Arial" w:hAnsi="Arial" w:cs="Arial"/>
          <w:sz w:val="22"/>
          <w:szCs w:val="22"/>
        </w:rPr>
        <w:t>No</w:t>
      </w:r>
      <w:r w:rsidR="000F32FE">
        <w:rPr>
          <w:rFonts w:ascii="Arial" w:hAnsi="Arial" w:cs="Arial"/>
          <w:sz w:val="22"/>
          <w:szCs w:val="22"/>
        </w:rPr>
        <w:t xml:space="preserve"> Quadro 1</w:t>
      </w:r>
      <w:r w:rsidR="00522987">
        <w:rPr>
          <w:rFonts w:ascii="Arial" w:hAnsi="Arial" w:cs="Arial"/>
          <w:sz w:val="22"/>
          <w:szCs w:val="22"/>
        </w:rPr>
        <w:t>,</w:t>
      </w:r>
      <w:r>
        <w:rPr>
          <w:rFonts w:ascii="Arial" w:hAnsi="Arial" w:cs="Arial"/>
          <w:sz w:val="22"/>
          <w:szCs w:val="22"/>
        </w:rPr>
        <w:t xml:space="preserve"> são apresentados os estudos </w:t>
      </w:r>
      <w:r w:rsidR="009C6804">
        <w:rPr>
          <w:rFonts w:ascii="Arial" w:hAnsi="Arial" w:cs="Arial"/>
          <w:sz w:val="22"/>
          <w:szCs w:val="22"/>
        </w:rPr>
        <w:t xml:space="preserve">(N=11) </w:t>
      </w:r>
      <w:r>
        <w:rPr>
          <w:rFonts w:ascii="Arial" w:hAnsi="Arial" w:cs="Arial"/>
          <w:sz w:val="22"/>
          <w:szCs w:val="22"/>
        </w:rPr>
        <w:t>que realizaram análises bioquímica</w:t>
      </w:r>
      <w:r w:rsidR="009C6804">
        <w:rPr>
          <w:rFonts w:ascii="Arial" w:hAnsi="Arial" w:cs="Arial"/>
          <w:sz w:val="22"/>
          <w:szCs w:val="22"/>
        </w:rPr>
        <w:t>s</w:t>
      </w:r>
    </w:p>
    <w:p w14:paraId="2BF70E65" w14:textId="77777777" w:rsidR="00CB5460" w:rsidRPr="00B770E2" w:rsidRDefault="00CB5460">
      <w:pPr>
        <w:pStyle w:val="Default"/>
        <w:spacing w:after="120" w:line="26" w:lineRule="atLeast"/>
        <w:ind w:left="66" w:firstLine="501"/>
        <w:jc w:val="both"/>
        <w:rPr>
          <w:rFonts w:ascii="Arial" w:hAnsi="Arial" w:cs="Arial"/>
          <w:b/>
          <w:color w:val="auto"/>
          <w:sz w:val="22"/>
          <w:szCs w:val="22"/>
        </w:rPr>
      </w:pPr>
    </w:p>
    <w:p w14:paraId="56CE8966" w14:textId="7E09F9FD" w:rsidR="00E33508" w:rsidRPr="00AA6B96" w:rsidRDefault="00E33508" w:rsidP="00E33508">
      <w:pPr>
        <w:spacing w:after="120" w:line="26" w:lineRule="atLeast"/>
        <w:jc w:val="both"/>
        <w:rPr>
          <w:rFonts w:ascii="Arial" w:hAnsi="Arial" w:cs="Arial"/>
          <w:b/>
          <w:sz w:val="20"/>
          <w:szCs w:val="20"/>
        </w:rPr>
      </w:pPr>
      <w:r w:rsidRPr="0018723D">
        <w:rPr>
          <w:rFonts w:ascii="Arial" w:hAnsi="Arial" w:cs="Arial"/>
          <w:b/>
          <w:sz w:val="20"/>
          <w:szCs w:val="20"/>
        </w:rPr>
        <w:t xml:space="preserve">Quadro 1 – </w:t>
      </w:r>
      <w:r w:rsidR="00E3086F">
        <w:rPr>
          <w:rFonts w:ascii="Arial" w:hAnsi="Arial" w:cs="Arial"/>
          <w:b/>
          <w:sz w:val="20"/>
          <w:szCs w:val="20"/>
        </w:rPr>
        <w:t xml:space="preserve">Principais resultados de análises bioquímicas de idosos </w:t>
      </w:r>
      <w:r w:rsidR="00AA6B96">
        <w:rPr>
          <w:rFonts w:ascii="Arial" w:hAnsi="Arial" w:cs="Arial"/>
          <w:b/>
          <w:sz w:val="20"/>
          <w:szCs w:val="20"/>
        </w:rPr>
        <w:t>brasileiros (2005-2016)</w:t>
      </w:r>
      <w:r w:rsidR="00E3086F" w:rsidRPr="00AA6B96">
        <w:rPr>
          <w:rFonts w:ascii="Arial" w:hAnsi="Arial" w:cs="Arial"/>
          <w:b/>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318"/>
        <w:gridCol w:w="1986"/>
        <w:gridCol w:w="1557"/>
        <w:gridCol w:w="1277"/>
        <w:gridCol w:w="1523"/>
      </w:tblGrid>
      <w:tr w:rsidR="00AA6B96" w:rsidRPr="00AA6B96" w14:paraId="36B305CD" w14:textId="77777777" w:rsidTr="00B40635">
        <w:trPr>
          <w:trHeight w:val="734"/>
          <w:jc w:val="center"/>
        </w:trPr>
        <w:tc>
          <w:tcPr>
            <w:tcW w:w="607" w:type="pct"/>
            <w:shd w:val="clear" w:color="auto" w:fill="auto"/>
            <w:vAlign w:val="center"/>
          </w:tcPr>
          <w:p w14:paraId="4C79E7BE" w14:textId="77777777" w:rsidR="00E33508" w:rsidRPr="004C1B26" w:rsidRDefault="00E33508" w:rsidP="006E75DD">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Fonte</w:t>
            </w:r>
          </w:p>
        </w:tc>
        <w:tc>
          <w:tcPr>
            <w:tcW w:w="756" w:type="pct"/>
            <w:shd w:val="clear" w:color="auto" w:fill="auto"/>
            <w:vAlign w:val="center"/>
          </w:tcPr>
          <w:p w14:paraId="7BBC4E1E" w14:textId="77777777" w:rsidR="00E33508" w:rsidRPr="004C1B26" w:rsidRDefault="00E33508" w:rsidP="006E75DD">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Local</w:t>
            </w:r>
          </w:p>
        </w:tc>
        <w:tc>
          <w:tcPr>
            <w:tcW w:w="1139" w:type="pct"/>
            <w:shd w:val="clear" w:color="auto" w:fill="auto"/>
            <w:vAlign w:val="center"/>
          </w:tcPr>
          <w:p w14:paraId="020DDCE6" w14:textId="77777777" w:rsidR="00E33508" w:rsidRPr="004C1B26" w:rsidRDefault="00424573" w:rsidP="006E75DD">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Características assistenciais do idoso</w:t>
            </w:r>
          </w:p>
        </w:tc>
        <w:tc>
          <w:tcPr>
            <w:tcW w:w="893" w:type="pct"/>
            <w:shd w:val="clear" w:color="auto" w:fill="auto"/>
            <w:vAlign w:val="center"/>
          </w:tcPr>
          <w:p w14:paraId="68E00ABD" w14:textId="77777777" w:rsidR="00E33508" w:rsidRPr="004C1B26" w:rsidRDefault="00E33508" w:rsidP="006E75DD">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Tipo de estudo</w:t>
            </w:r>
          </w:p>
        </w:tc>
        <w:tc>
          <w:tcPr>
            <w:tcW w:w="732" w:type="pct"/>
            <w:shd w:val="clear" w:color="auto" w:fill="auto"/>
            <w:vAlign w:val="center"/>
          </w:tcPr>
          <w:p w14:paraId="7608F4C9" w14:textId="77777777" w:rsidR="00E33508" w:rsidRPr="004C1B26" w:rsidRDefault="00E33508" w:rsidP="006E75DD">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Avaliados</w:t>
            </w:r>
          </w:p>
        </w:tc>
        <w:tc>
          <w:tcPr>
            <w:tcW w:w="873" w:type="pct"/>
            <w:shd w:val="clear" w:color="auto" w:fill="auto"/>
            <w:vAlign w:val="center"/>
          </w:tcPr>
          <w:p w14:paraId="50A3CB17" w14:textId="77777777" w:rsidR="00E33508" w:rsidRPr="004C1B26" w:rsidRDefault="00E33508" w:rsidP="00105860">
            <w:pPr>
              <w:pStyle w:val="Default"/>
              <w:spacing w:line="26" w:lineRule="atLeast"/>
              <w:jc w:val="center"/>
              <w:rPr>
                <w:rFonts w:ascii="Arial" w:hAnsi="Arial" w:cs="Arial"/>
                <w:b/>
                <w:color w:val="auto"/>
                <w:sz w:val="20"/>
                <w:szCs w:val="20"/>
              </w:rPr>
            </w:pPr>
            <w:r w:rsidRPr="004C1B26">
              <w:rPr>
                <w:rFonts w:ascii="Arial" w:hAnsi="Arial" w:cs="Arial"/>
                <w:b/>
                <w:color w:val="auto"/>
                <w:sz w:val="20"/>
                <w:szCs w:val="20"/>
              </w:rPr>
              <w:t>Pr</w:t>
            </w:r>
            <w:r w:rsidR="00105860" w:rsidRPr="004C1B26">
              <w:rPr>
                <w:rFonts w:ascii="Arial" w:hAnsi="Arial" w:cs="Arial"/>
                <w:b/>
                <w:color w:val="auto"/>
                <w:sz w:val="20"/>
                <w:szCs w:val="20"/>
              </w:rPr>
              <w:t>evalências</w:t>
            </w:r>
          </w:p>
        </w:tc>
      </w:tr>
      <w:tr w:rsidR="00BB1020" w:rsidRPr="00E54649" w14:paraId="0232A504" w14:textId="77777777" w:rsidTr="004C1B26">
        <w:trPr>
          <w:trHeight w:val="1465"/>
          <w:jc w:val="center"/>
        </w:trPr>
        <w:tc>
          <w:tcPr>
            <w:tcW w:w="607" w:type="pct"/>
            <w:shd w:val="clear" w:color="auto" w:fill="auto"/>
            <w:vAlign w:val="center"/>
          </w:tcPr>
          <w:p w14:paraId="0CF25827" w14:textId="7E1CCD8E"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Barbos</w:t>
            </w:r>
            <w:r w:rsidR="00D92D20">
              <w:rPr>
                <w:rFonts w:ascii="Arial" w:hAnsi="Arial" w:cs="Arial"/>
                <w:sz w:val="20"/>
                <w:szCs w:val="20"/>
              </w:rPr>
              <w:t>a</w:t>
            </w:r>
            <w:r w:rsidRPr="00990B05">
              <w:rPr>
                <w:rFonts w:ascii="Arial" w:hAnsi="Arial" w:cs="Arial"/>
                <w:sz w:val="20"/>
                <w:szCs w:val="20"/>
              </w:rPr>
              <w:t>, Arruda e Diniz (2006)</w:t>
            </w:r>
          </w:p>
        </w:tc>
        <w:tc>
          <w:tcPr>
            <w:tcW w:w="756" w:type="pct"/>
            <w:shd w:val="clear" w:color="auto" w:fill="auto"/>
            <w:vAlign w:val="center"/>
          </w:tcPr>
          <w:p w14:paraId="482C7901"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Camaragibe (PE)</w:t>
            </w:r>
          </w:p>
        </w:tc>
        <w:tc>
          <w:tcPr>
            <w:tcW w:w="1139" w:type="pct"/>
            <w:shd w:val="clear" w:color="auto" w:fill="auto"/>
            <w:vAlign w:val="center"/>
          </w:tcPr>
          <w:p w14:paraId="6D2AF4FA" w14:textId="2F86D9A9" w:rsidR="00E33508" w:rsidRPr="00990B05" w:rsidRDefault="00E33508" w:rsidP="006E75DD">
            <w:pPr>
              <w:pStyle w:val="Default"/>
              <w:spacing w:line="26" w:lineRule="atLeast"/>
              <w:jc w:val="center"/>
              <w:rPr>
                <w:rFonts w:ascii="Arial" w:hAnsi="Arial" w:cs="Arial"/>
                <w:sz w:val="20"/>
                <w:szCs w:val="20"/>
              </w:rPr>
            </w:pPr>
            <w:r>
              <w:rPr>
                <w:rFonts w:ascii="Arial" w:hAnsi="Arial" w:cs="Arial"/>
                <w:sz w:val="20"/>
                <w:szCs w:val="20"/>
              </w:rPr>
              <w:t>A</w:t>
            </w:r>
            <w:r w:rsidR="00166ADC">
              <w:rPr>
                <w:rFonts w:ascii="Arial" w:hAnsi="Arial" w:cs="Arial"/>
                <w:sz w:val="20"/>
                <w:szCs w:val="20"/>
              </w:rPr>
              <w:t>tendidos ambulatoriamente</w:t>
            </w:r>
            <w:r w:rsidR="00D92D20">
              <w:rPr>
                <w:rFonts w:ascii="Arial" w:hAnsi="Arial" w:cs="Arial"/>
                <w:sz w:val="20"/>
                <w:szCs w:val="20"/>
              </w:rPr>
              <w:t xml:space="preserve"> </w:t>
            </w:r>
            <w:r>
              <w:rPr>
                <w:rFonts w:ascii="Arial" w:hAnsi="Arial" w:cs="Arial"/>
                <w:sz w:val="20"/>
                <w:szCs w:val="20"/>
              </w:rPr>
              <w:t>(</w:t>
            </w:r>
            <w:r w:rsidRPr="00990B05">
              <w:rPr>
                <w:rFonts w:ascii="Arial" w:hAnsi="Arial" w:cs="Arial"/>
                <w:sz w:val="20"/>
                <w:szCs w:val="20"/>
              </w:rPr>
              <w:t>Programa de Saúde da Família</w:t>
            </w:r>
            <w:r>
              <w:rPr>
                <w:rFonts w:ascii="Arial" w:hAnsi="Arial" w:cs="Arial"/>
                <w:sz w:val="20"/>
                <w:szCs w:val="20"/>
              </w:rPr>
              <w:t>)</w:t>
            </w:r>
          </w:p>
        </w:tc>
        <w:tc>
          <w:tcPr>
            <w:tcW w:w="893" w:type="pct"/>
            <w:shd w:val="clear" w:color="auto" w:fill="auto"/>
            <w:vAlign w:val="center"/>
          </w:tcPr>
          <w:p w14:paraId="2404FDF4"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Transversal</w:t>
            </w:r>
          </w:p>
        </w:tc>
        <w:tc>
          <w:tcPr>
            <w:tcW w:w="732" w:type="pct"/>
            <w:shd w:val="clear" w:color="auto" w:fill="auto"/>
            <w:vAlign w:val="center"/>
          </w:tcPr>
          <w:p w14:paraId="6E8F391A"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284</w:t>
            </w:r>
          </w:p>
        </w:tc>
        <w:tc>
          <w:tcPr>
            <w:tcW w:w="873" w:type="pct"/>
            <w:shd w:val="clear" w:color="auto" w:fill="auto"/>
            <w:vAlign w:val="center"/>
          </w:tcPr>
          <w:p w14:paraId="078E94E2" w14:textId="77777777" w:rsidR="006E743E" w:rsidRDefault="006E743E" w:rsidP="006E743E">
            <w:pPr>
              <w:pStyle w:val="Default"/>
              <w:spacing w:line="26" w:lineRule="atLeast"/>
              <w:jc w:val="center"/>
              <w:rPr>
                <w:rFonts w:ascii="Arial" w:hAnsi="Arial" w:cs="Arial"/>
                <w:sz w:val="20"/>
                <w:szCs w:val="20"/>
              </w:rPr>
            </w:pPr>
            <w:r>
              <w:rPr>
                <w:rFonts w:ascii="Arial" w:hAnsi="Arial" w:cs="Arial"/>
                <w:sz w:val="20"/>
                <w:szCs w:val="20"/>
              </w:rPr>
              <w:t>Sexo feminino:</w:t>
            </w:r>
          </w:p>
          <w:p w14:paraId="03F24E17" w14:textId="77777777" w:rsidR="00166ADC" w:rsidRDefault="006E743E" w:rsidP="006E743E">
            <w:pPr>
              <w:pStyle w:val="Default"/>
              <w:spacing w:line="26" w:lineRule="atLeast"/>
              <w:jc w:val="center"/>
              <w:rPr>
                <w:rFonts w:ascii="Arial" w:hAnsi="Arial" w:cs="Arial"/>
                <w:sz w:val="20"/>
                <w:szCs w:val="20"/>
              </w:rPr>
            </w:pPr>
            <w:r w:rsidRPr="00990B05">
              <w:rPr>
                <w:rFonts w:ascii="Arial" w:hAnsi="Arial" w:cs="Arial"/>
                <w:sz w:val="20"/>
                <w:szCs w:val="20"/>
              </w:rPr>
              <w:t xml:space="preserve">12,6% </w:t>
            </w:r>
            <w:r>
              <w:rPr>
                <w:rFonts w:ascii="Arial" w:hAnsi="Arial" w:cs="Arial"/>
                <w:sz w:val="20"/>
                <w:szCs w:val="20"/>
              </w:rPr>
              <w:t>e s</w:t>
            </w:r>
            <w:r w:rsidR="00166ADC">
              <w:rPr>
                <w:rFonts w:ascii="Arial" w:hAnsi="Arial" w:cs="Arial"/>
                <w:sz w:val="20"/>
                <w:szCs w:val="20"/>
              </w:rPr>
              <w:t xml:space="preserve">exo masculino: </w:t>
            </w:r>
            <w:r w:rsidR="00105860">
              <w:rPr>
                <w:rFonts w:ascii="Arial" w:hAnsi="Arial" w:cs="Arial"/>
                <w:sz w:val="20"/>
                <w:szCs w:val="20"/>
              </w:rPr>
              <w:t>10,9%</w:t>
            </w:r>
          </w:p>
          <w:p w14:paraId="01AA6D60" w14:textId="77777777" w:rsidR="00E33508" w:rsidRPr="00990B05" w:rsidRDefault="00E33508" w:rsidP="006E743E">
            <w:pPr>
              <w:pStyle w:val="Default"/>
              <w:spacing w:line="26" w:lineRule="atLeast"/>
              <w:jc w:val="center"/>
              <w:rPr>
                <w:rFonts w:ascii="Arial" w:hAnsi="Arial" w:cs="Arial"/>
                <w:sz w:val="20"/>
                <w:szCs w:val="20"/>
              </w:rPr>
            </w:pPr>
          </w:p>
        </w:tc>
      </w:tr>
      <w:tr w:rsidR="00BB1020" w:rsidRPr="00E54649" w14:paraId="46E45CCC" w14:textId="77777777" w:rsidTr="004C1B26">
        <w:trPr>
          <w:trHeight w:val="1401"/>
          <w:jc w:val="center"/>
        </w:trPr>
        <w:tc>
          <w:tcPr>
            <w:tcW w:w="607" w:type="pct"/>
            <w:shd w:val="clear" w:color="auto" w:fill="auto"/>
            <w:vAlign w:val="center"/>
          </w:tcPr>
          <w:p w14:paraId="6BF13337"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Schaan et al. (2007)</w:t>
            </w:r>
          </w:p>
        </w:tc>
        <w:tc>
          <w:tcPr>
            <w:tcW w:w="756" w:type="pct"/>
            <w:shd w:val="clear" w:color="auto" w:fill="auto"/>
            <w:vAlign w:val="center"/>
          </w:tcPr>
          <w:p w14:paraId="1F46AEA1"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Rio Grande do Sul (RS)</w:t>
            </w:r>
          </w:p>
        </w:tc>
        <w:tc>
          <w:tcPr>
            <w:tcW w:w="1139" w:type="pct"/>
            <w:shd w:val="clear" w:color="auto" w:fill="auto"/>
            <w:vAlign w:val="center"/>
          </w:tcPr>
          <w:p w14:paraId="75A606D0" w14:textId="77777777" w:rsidR="00E33508" w:rsidRPr="00990B05" w:rsidRDefault="00FD63A1" w:rsidP="006E75DD">
            <w:pPr>
              <w:pStyle w:val="Default"/>
              <w:spacing w:line="26" w:lineRule="atLeast"/>
              <w:jc w:val="center"/>
              <w:rPr>
                <w:rFonts w:ascii="Arial" w:hAnsi="Arial" w:cs="Arial"/>
                <w:sz w:val="20"/>
                <w:szCs w:val="20"/>
              </w:rPr>
            </w:pPr>
            <w:r>
              <w:rPr>
                <w:rFonts w:ascii="Arial" w:hAnsi="Arial" w:cs="Arial"/>
                <w:sz w:val="20"/>
                <w:szCs w:val="20"/>
              </w:rPr>
              <w:t>P</w:t>
            </w:r>
            <w:r w:rsidRPr="00FD63A1">
              <w:rPr>
                <w:rFonts w:ascii="Arial" w:hAnsi="Arial" w:cs="Arial"/>
                <w:sz w:val="20"/>
                <w:szCs w:val="20"/>
              </w:rPr>
              <w:t>articipantes de grupos comunitários locais</w:t>
            </w:r>
          </w:p>
        </w:tc>
        <w:tc>
          <w:tcPr>
            <w:tcW w:w="893" w:type="pct"/>
            <w:shd w:val="clear" w:color="auto" w:fill="auto"/>
            <w:vAlign w:val="center"/>
          </w:tcPr>
          <w:p w14:paraId="7D605FD5"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Não Probabilístico (Transversal e Caso-Controle)</w:t>
            </w:r>
          </w:p>
        </w:tc>
        <w:tc>
          <w:tcPr>
            <w:tcW w:w="732" w:type="pct"/>
            <w:shd w:val="clear" w:color="auto" w:fill="auto"/>
            <w:vAlign w:val="center"/>
          </w:tcPr>
          <w:p w14:paraId="75495B66" w14:textId="77777777" w:rsidR="00E33508" w:rsidRPr="00990B05" w:rsidRDefault="00105860" w:rsidP="00105860">
            <w:pPr>
              <w:pStyle w:val="Default"/>
              <w:spacing w:line="26" w:lineRule="atLeast"/>
              <w:jc w:val="center"/>
              <w:rPr>
                <w:rFonts w:ascii="Arial" w:hAnsi="Arial" w:cs="Arial"/>
                <w:sz w:val="20"/>
                <w:szCs w:val="20"/>
              </w:rPr>
            </w:pPr>
            <w:r>
              <w:rPr>
                <w:rFonts w:ascii="Arial" w:hAnsi="Arial" w:cs="Arial"/>
                <w:sz w:val="20"/>
                <w:szCs w:val="20"/>
              </w:rPr>
              <w:t>46</w:t>
            </w:r>
          </w:p>
        </w:tc>
        <w:tc>
          <w:tcPr>
            <w:tcW w:w="873" w:type="pct"/>
            <w:shd w:val="clear" w:color="auto" w:fill="auto"/>
            <w:vAlign w:val="center"/>
          </w:tcPr>
          <w:p w14:paraId="1A443CFC" w14:textId="77777777" w:rsidR="00E33508" w:rsidRPr="00990B05" w:rsidRDefault="00E33508" w:rsidP="00105860">
            <w:pPr>
              <w:pStyle w:val="Default"/>
              <w:spacing w:line="26" w:lineRule="atLeast"/>
              <w:jc w:val="center"/>
              <w:rPr>
                <w:rFonts w:ascii="Arial" w:hAnsi="Arial" w:cs="Arial"/>
                <w:sz w:val="20"/>
                <w:szCs w:val="20"/>
              </w:rPr>
            </w:pPr>
            <w:r w:rsidRPr="00990B05">
              <w:rPr>
                <w:rFonts w:ascii="Arial" w:hAnsi="Arial" w:cs="Arial"/>
                <w:sz w:val="20"/>
                <w:szCs w:val="20"/>
              </w:rPr>
              <w:t xml:space="preserve">4,3% </w:t>
            </w:r>
          </w:p>
        </w:tc>
      </w:tr>
      <w:tr w:rsidR="00BB1020" w:rsidRPr="00E54649" w14:paraId="732220B4" w14:textId="77777777" w:rsidTr="004C1B26">
        <w:trPr>
          <w:trHeight w:val="1546"/>
          <w:jc w:val="center"/>
        </w:trPr>
        <w:tc>
          <w:tcPr>
            <w:tcW w:w="607" w:type="pct"/>
            <w:shd w:val="clear" w:color="auto" w:fill="auto"/>
            <w:vAlign w:val="center"/>
          </w:tcPr>
          <w:p w14:paraId="41C8E25D"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lastRenderedPageBreak/>
              <w:t>Silva (2008)</w:t>
            </w:r>
          </w:p>
        </w:tc>
        <w:tc>
          <w:tcPr>
            <w:tcW w:w="756" w:type="pct"/>
            <w:shd w:val="clear" w:color="auto" w:fill="auto"/>
            <w:vAlign w:val="center"/>
          </w:tcPr>
          <w:p w14:paraId="52A0E4F9"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Viçosa (MG)</w:t>
            </w:r>
          </w:p>
        </w:tc>
        <w:tc>
          <w:tcPr>
            <w:tcW w:w="1139" w:type="pct"/>
            <w:shd w:val="clear" w:color="auto" w:fill="auto"/>
            <w:vAlign w:val="center"/>
          </w:tcPr>
          <w:p w14:paraId="017D0079" w14:textId="275BEFDE" w:rsidR="00E33508" w:rsidRPr="00990B05" w:rsidRDefault="00BA2263" w:rsidP="006E75DD">
            <w:pPr>
              <w:pStyle w:val="Default"/>
              <w:spacing w:line="26" w:lineRule="atLeast"/>
              <w:jc w:val="center"/>
              <w:rPr>
                <w:rFonts w:ascii="Arial" w:hAnsi="Arial" w:cs="Arial"/>
                <w:sz w:val="20"/>
                <w:szCs w:val="20"/>
              </w:rPr>
            </w:pPr>
            <w:r>
              <w:rPr>
                <w:rFonts w:ascii="Arial" w:hAnsi="Arial" w:cs="Arial"/>
                <w:sz w:val="20"/>
                <w:szCs w:val="20"/>
              </w:rPr>
              <w:t>A</w:t>
            </w:r>
            <w:r w:rsidR="00166ADC">
              <w:rPr>
                <w:rFonts w:ascii="Arial" w:hAnsi="Arial" w:cs="Arial"/>
                <w:sz w:val="20"/>
                <w:szCs w:val="20"/>
              </w:rPr>
              <w:t>tendidos ambulatoriamente</w:t>
            </w:r>
            <w:r w:rsidR="00400E22">
              <w:rPr>
                <w:rFonts w:ascii="Arial" w:hAnsi="Arial" w:cs="Arial"/>
                <w:sz w:val="20"/>
                <w:szCs w:val="20"/>
              </w:rPr>
              <w:t xml:space="preserve"> </w:t>
            </w:r>
            <w:r>
              <w:rPr>
                <w:rFonts w:ascii="Arial" w:hAnsi="Arial" w:cs="Arial"/>
                <w:sz w:val="20"/>
                <w:szCs w:val="20"/>
              </w:rPr>
              <w:t>(</w:t>
            </w:r>
            <w:r w:rsidRPr="00990B05">
              <w:rPr>
                <w:rFonts w:ascii="Arial" w:hAnsi="Arial" w:cs="Arial"/>
                <w:sz w:val="20"/>
                <w:szCs w:val="20"/>
              </w:rPr>
              <w:t>Programa de Saúde da Família</w:t>
            </w:r>
            <w:r>
              <w:rPr>
                <w:rFonts w:ascii="Arial" w:hAnsi="Arial" w:cs="Arial"/>
                <w:sz w:val="20"/>
                <w:szCs w:val="20"/>
              </w:rPr>
              <w:t>)</w:t>
            </w:r>
          </w:p>
        </w:tc>
        <w:tc>
          <w:tcPr>
            <w:tcW w:w="893" w:type="pct"/>
            <w:shd w:val="clear" w:color="auto" w:fill="auto"/>
            <w:vAlign w:val="center"/>
          </w:tcPr>
          <w:p w14:paraId="3387D788" w14:textId="77777777" w:rsidR="00E33508" w:rsidRPr="00990B05" w:rsidRDefault="00BA2263" w:rsidP="006E75DD">
            <w:pPr>
              <w:pStyle w:val="Default"/>
              <w:spacing w:line="26" w:lineRule="atLeast"/>
              <w:jc w:val="center"/>
              <w:rPr>
                <w:rFonts w:ascii="Arial" w:hAnsi="Arial" w:cs="Arial"/>
                <w:sz w:val="20"/>
                <w:szCs w:val="20"/>
              </w:rPr>
            </w:pPr>
            <w:r>
              <w:rPr>
                <w:rFonts w:ascii="Arial" w:hAnsi="Arial" w:cs="Arial"/>
                <w:sz w:val="20"/>
                <w:szCs w:val="20"/>
              </w:rPr>
              <w:t>Transversal</w:t>
            </w:r>
          </w:p>
        </w:tc>
        <w:tc>
          <w:tcPr>
            <w:tcW w:w="732" w:type="pct"/>
            <w:shd w:val="clear" w:color="auto" w:fill="auto"/>
            <w:vAlign w:val="center"/>
          </w:tcPr>
          <w:p w14:paraId="7D64515F"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155</w:t>
            </w:r>
          </w:p>
        </w:tc>
        <w:tc>
          <w:tcPr>
            <w:tcW w:w="873" w:type="pct"/>
            <w:shd w:val="clear" w:color="auto" w:fill="auto"/>
            <w:vAlign w:val="center"/>
          </w:tcPr>
          <w:p w14:paraId="0C92B478" w14:textId="77777777" w:rsidR="00E33508" w:rsidRPr="00990B05" w:rsidRDefault="00E33508" w:rsidP="00BA2263">
            <w:pPr>
              <w:pStyle w:val="Default"/>
              <w:spacing w:line="26" w:lineRule="atLeast"/>
              <w:jc w:val="center"/>
              <w:rPr>
                <w:rFonts w:ascii="Arial" w:hAnsi="Arial" w:cs="Arial"/>
                <w:sz w:val="20"/>
                <w:szCs w:val="20"/>
              </w:rPr>
            </w:pPr>
            <w:r w:rsidRPr="00990B05">
              <w:rPr>
                <w:rFonts w:ascii="Arial" w:hAnsi="Arial" w:cs="Arial"/>
                <w:sz w:val="20"/>
                <w:szCs w:val="20"/>
              </w:rPr>
              <w:t>4,5%</w:t>
            </w:r>
          </w:p>
        </w:tc>
      </w:tr>
      <w:tr w:rsidR="00BB1020" w:rsidRPr="00E54649" w14:paraId="1E641342" w14:textId="77777777" w:rsidTr="004C1B26">
        <w:trPr>
          <w:trHeight w:val="1553"/>
          <w:jc w:val="center"/>
        </w:trPr>
        <w:tc>
          <w:tcPr>
            <w:tcW w:w="607" w:type="pct"/>
            <w:shd w:val="clear" w:color="auto" w:fill="auto"/>
            <w:vAlign w:val="center"/>
          </w:tcPr>
          <w:p w14:paraId="7F4D93AC"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 xml:space="preserve">Colares-Bento et al. (2009) </w:t>
            </w:r>
          </w:p>
        </w:tc>
        <w:tc>
          <w:tcPr>
            <w:tcW w:w="756" w:type="pct"/>
            <w:shd w:val="clear" w:color="auto" w:fill="auto"/>
            <w:vAlign w:val="center"/>
          </w:tcPr>
          <w:p w14:paraId="5E27181B"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Distrito Federal (DF)</w:t>
            </w:r>
          </w:p>
        </w:tc>
        <w:tc>
          <w:tcPr>
            <w:tcW w:w="1139" w:type="pct"/>
            <w:shd w:val="clear" w:color="auto" w:fill="auto"/>
            <w:vAlign w:val="center"/>
          </w:tcPr>
          <w:p w14:paraId="1CD4AFEF" w14:textId="77777777" w:rsidR="00E33508" w:rsidRPr="00990B05" w:rsidRDefault="00166ADC" w:rsidP="00166ADC">
            <w:pPr>
              <w:pStyle w:val="Default"/>
              <w:spacing w:line="26" w:lineRule="atLeast"/>
              <w:jc w:val="center"/>
              <w:rPr>
                <w:rFonts w:ascii="Arial" w:hAnsi="Arial" w:cs="Arial"/>
                <w:sz w:val="20"/>
                <w:szCs w:val="20"/>
              </w:rPr>
            </w:pPr>
            <w:r>
              <w:rPr>
                <w:rFonts w:ascii="Arial" w:hAnsi="Arial" w:cs="Arial"/>
                <w:sz w:val="20"/>
                <w:szCs w:val="20"/>
              </w:rPr>
              <w:t>Atendidos ambulatoriamente</w:t>
            </w:r>
          </w:p>
        </w:tc>
        <w:tc>
          <w:tcPr>
            <w:tcW w:w="893" w:type="pct"/>
            <w:shd w:val="clear" w:color="auto" w:fill="auto"/>
            <w:vAlign w:val="center"/>
          </w:tcPr>
          <w:p w14:paraId="266E1B6C"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Seccional descritivo</w:t>
            </w:r>
          </w:p>
        </w:tc>
        <w:tc>
          <w:tcPr>
            <w:tcW w:w="732" w:type="pct"/>
            <w:shd w:val="clear" w:color="auto" w:fill="auto"/>
            <w:vAlign w:val="center"/>
          </w:tcPr>
          <w:p w14:paraId="691ECF88"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173</w:t>
            </w:r>
          </w:p>
        </w:tc>
        <w:tc>
          <w:tcPr>
            <w:tcW w:w="873" w:type="pct"/>
            <w:shd w:val="clear" w:color="auto" w:fill="auto"/>
            <w:vAlign w:val="center"/>
          </w:tcPr>
          <w:p w14:paraId="5E0C7151" w14:textId="77777777" w:rsidR="00E33508" w:rsidRPr="00990B05" w:rsidRDefault="00F40CEE" w:rsidP="00F40CEE">
            <w:pPr>
              <w:pStyle w:val="Default"/>
              <w:spacing w:line="26" w:lineRule="atLeast"/>
              <w:jc w:val="center"/>
              <w:rPr>
                <w:rFonts w:ascii="Arial" w:hAnsi="Arial" w:cs="Arial"/>
                <w:sz w:val="20"/>
                <w:szCs w:val="20"/>
              </w:rPr>
            </w:pPr>
            <w:r>
              <w:rPr>
                <w:rFonts w:ascii="Arial" w:hAnsi="Arial" w:cs="Arial"/>
                <w:sz w:val="20"/>
                <w:szCs w:val="20"/>
              </w:rPr>
              <w:t>9,8%</w:t>
            </w:r>
          </w:p>
        </w:tc>
      </w:tr>
      <w:tr w:rsidR="00BB1020" w:rsidRPr="00E54649" w14:paraId="256FD7C7" w14:textId="77777777" w:rsidTr="004C1B26">
        <w:trPr>
          <w:trHeight w:val="1537"/>
          <w:jc w:val="center"/>
        </w:trPr>
        <w:tc>
          <w:tcPr>
            <w:tcW w:w="607" w:type="pct"/>
            <w:shd w:val="clear" w:color="auto" w:fill="auto"/>
            <w:vAlign w:val="center"/>
          </w:tcPr>
          <w:p w14:paraId="004394DC" w14:textId="77777777" w:rsidR="00E33508" w:rsidRPr="00990B05" w:rsidRDefault="00E33508" w:rsidP="006E75DD">
            <w:pPr>
              <w:pStyle w:val="Default"/>
              <w:spacing w:line="26" w:lineRule="atLeast"/>
              <w:jc w:val="center"/>
              <w:rPr>
                <w:rFonts w:ascii="Arial" w:eastAsia="Arial" w:hAnsi="Arial" w:cs="Arial"/>
                <w:sz w:val="20"/>
                <w:szCs w:val="20"/>
              </w:rPr>
            </w:pPr>
            <w:r w:rsidRPr="00990B05">
              <w:rPr>
                <w:rFonts w:ascii="Arial" w:eastAsia="Arial" w:hAnsi="Arial" w:cs="Arial"/>
                <w:sz w:val="20"/>
                <w:szCs w:val="20"/>
              </w:rPr>
              <w:t>Santos (2009)</w:t>
            </w:r>
          </w:p>
        </w:tc>
        <w:tc>
          <w:tcPr>
            <w:tcW w:w="756" w:type="pct"/>
            <w:shd w:val="clear" w:color="auto" w:fill="auto"/>
            <w:vAlign w:val="center"/>
          </w:tcPr>
          <w:p w14:paraId="3BB27325" w14:textId="77777777" w:rsidR="00E33508" w:rsidRPr="00990B05" w:rsidRDefault="00E33508" w:rsidP="006E75DD">
            <w:pPr>
              <w:pStyle w:val="Default"/>
              <w:spacing w:line="26" w:lineRule="atLeast"/>
              <w:jc w:val="center"/>
              <w:rPr>
                <w:rFonts w:ascii="Arial" w:eastAsia="Arial" w:hAnsi="Arial" w:cs="Arial"/>
                <w:sz w:val="20"/>
                <w:szCs w:val="20"/>
              </w:rPr>
            </w:pPr>
            <w:r w:rsidRPr="00990B05">
              <w:rPr>
                <w:rFonts w:ascii="Arial" w:eastAsia="Arial" w:hAnsi="Arial" w:cs="Arial"/>
                <w:sz w:val="20"/>
                <w:szCs w:val="20"/>
              </w:rPr>
              <w:t>São Paulo</w:t>
            </w:r>
          </w:p>
          <w:p w14:paraId="47F82743" w14:textId="77777777" w:rsidR="00E33508" w:rsidRPr="00990B05" w:rsidRDefault="00E33508" w:rsidP="006E75DD">
            <w:pPr>
              <w:pStyle w:val="Default"/>
              <w:spacing w:line="26" w:lineRule="atLeast"/>
              <w:jc w:val="center"/>
              <w:rPr>
                <w:rFonts w:ascii="Arial" w:eastAsia="Arial" w:hAnsi="Arial" w:cs="Arial"/>
                <w:sz w:val="20"/>
                <w:szCs w:val="20"/>
              </w:rPr>
            </w:pPr>
            <w:r w:rsidRPr="00990B05">
              <w:rPr>
                <w:rFonts w:ascii="Arial" w:eastAsia="Arial" w:hAnsi="Arial" w:cs="Arial"/>
                <w:sz w:val="20"/>
                <w:szCs w:val="20"/>
              </w:rPr>
              <w:t>(SP)</w:t>
            </w:r>
          </w:p>
        </w:tc>
        <w:tc>
          <w:tcPr>
            <w:tcW w:w="1139" w:type="pct"/>
            <w:shd w:val="clear" w:color="auto" w:fill="auto"/>
            <w:vAlign w:val="center"/>
          </w:tcPr>
          <w:p w14:paraId="16070EE2" w14:textId="77777777" w:rsidR="00E33508" w:rsidRPr="00990B05" w:rsidRDefault="00166ADC" w:rsidP="005819D1">
            <w:pPr>
              <w:pStyle w:val="Default"/>
              <w:spacing w:line="26" w:lineRule="atLeast"/>
              <w:jc w:val="center"/>
              <w:rPr>
                <w:rFonts w:ascii="Arial" w:eastAsia="Arial" w:hAnsi="Arial" w:cs="Arial"/>
                <w:sz w:val="20"/>
                <w:szCs w:val="20"/>
              </w:rPr>
            </w:pPr>
            <w:r>
              <w:rPr>
                <w:rFonts w:ascii="Arial" w:eastAsia="Arial" w:hAnsi="Arial" w:cs="Arial"/>
                <w:sz w:val="20"/>
                <w:szCs w:val="20"/>
              </w:rPr>
              <w:t>Amostra populacional de idosos</w:t>
            </w:r>
          </w:p>
        </w:tc>
        <w:tc>
          <w:tcPr>
            <w:tcW w:w="893" w:type="pct"/>
            <w:shd w:val="clear" w:color="auto" w:fill="auto"/>
            <w:vAlign w:val="center"/>
          </w:tcPr>
          <w:p w14:paraId="27D2A9E7" w14:textId="77777777" w:rsidR="00E33508" w:rsidRPr="00990B05" w:rsidRDefault="00E33508" w:rsidP="006E75DD">
            <w:pPr>
              <w:pStyle w:val="Default"/>
              <w:spacing w:line="26" w:lineRule="atLeast"/>
              <w:jc w:val="center"/>
              <w:rPr>
                <w:rFonts w:ascii="Arial" w:eastAsia="Arial" w:hAnsi="Arial" w:cs="Arial"/>
                <w:sz w:val="20"/>
                <w:szCs w:val="20"/>
              </w:rPr>
            </w:pPr>
            <w:r w:rsidRPr="00990B05">
              <w:rPr>
                <w:rFonts w:ascii="Arial" w:eastAsia="Arial" w:hAnsi="Arial" w:cs="Arial"/>
                <w:sz w:val="20"/>
                <w:szCs w:val="20"/>
              </w:rPr>
              <w:t>Transversal descritivo</w:t>
            </w:r>
          </w:p>
        </w:tc>
        <w:tc>
          <w:tcPr>
            <w:tcW w:w="732" w:type="pct"/>
            <w:shd w:val="clear" w:color="auto" w:fill="auto"/>
            <w:vAlign w:val="center"/>
          </w:tcPr>
          <w:p w14:paraId="57CCC66D" w14:textId="77777777" w:rsidR="00E33508" w:rsidRPr="00990B05" w:rsidRDefault="00E33508" w:rsidP="006E75DD">
            <w:pPr>
              <w:pStyle w:val="Default"/>
              <w:spacing w:line="26" w:lineRule="atLeast"/>
              <w:jc w:val="center"/>
              <w:rPr>
                <w:rFonts w:ascii="Arial" w:eastAsia="Arial" w:hAnsi="Arial" w:cs="Arial"/>
                <w:sz w:val="20"/>
                <w:szCs w:val="20"/>
              </w:rPr>
            </w:pPr>
            <w:r w:rsidRPr="00990B05">
              <w:rPr>
                <w:rFonts w:ascii="Arial" w:eastAsia="Arial" w:hAnsi="Arial" w:cs="Arial"/>
                <w:sz w:val="20"/>
                <w:szCs w:val="20"/>
              </w:rPr>
              <w:t>1.948</w:t>
            </w:r>
          </w:p>
        </w:tc>
        <w:tc>
          <w:tcPr>
            <w:tcW w:w="873" w:type="pct"/>
            <w:shd w:val="clear" w:color="auto" w:fill="auto"/>
            <w:vAlign w:val="center"/>
          </w:tcPr>
          <w:p w14:paraId="65E536AF" w14:textId="77777777" w:rsidR="00E33508" w:rsidRPr="00990B05" w:rsidRDefault="00F07C1F" w:rsidP="00F07C1F">
            <w:pPr>
              <w:pStyle w:val="Default"/>
              <w:spacing w:line="26" w:lineRule="atLeast"/>
              <w:jc w:val="center"/>
              <w:rPr>
                <w:rFonts w:ascii="Arial" w:eastAsia="Arial" w:hAnsi="Arial" w:cs="Arial"/>
                <w:sz w:val="20"/>
                <w:szCs w:val="20"/>
              </w:rPr>
            </w:pPr>
            <w:r>
              <w:rPr>
                <w:rFonts w:ascii="Arial" w:eastAsia="Arial" w:hAnsi="Arial" w:cs="Arial"/>
                <w:sz w:val="20"/>
                <w:szCs w:val="20"/>
              </w:rPr>
              <w:t>10,4%</w:t>
            </w:r>
          </w:p>
        </w:tc>
      </w:tr>
      <w:tr w:rsidR="00BB1020" w:rsidRPr="00E54649" w14:paraId="74A06093" w14:textId="77777777" w:rsidTr="004C1B26">
        <w:trPr>
          <w:trHeight w:val="1558"/>
          <w:jc w:val="center"/>
        </w:trPr>
        <w:tc>
          <w:tcPr>
            <w:tcW w:w="607" w:type="pct"/>
            <w:shd w:val="clear" w:color="auto" w:fill="auto"/>
            <w:vAlign w:val="center"/>
          </w:tcPr>
          <w:p w14:paraId="4EB5BEF7"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Macêdo et al. (2011)</w:t>
            </w:r>
          </w:p>
        </w:tc>
        <w:tc>
          <w:tcPr>
            <w:tcW w:w="756" w:type="pct"/>
            <w:shd w:val="clear" w:color="auto" w:fill="auto"/>
            <w:vAlign w:val="center"/>
          </w:tcPr>
          <w:p w14:paraId="2D6BE31F"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Brasília (DF)</w:t>
            </w:r>
          </w:p>
        </w:tc>
        <w:tc>
          <w:tcPr>
            <w:tcW w:w="1139" w:type="pct"/>
            <w:shd w:val="clear" w:color="auto" w:fill="auto"/>
            <w:vAlign w:val="center"/>
          </w:tcPr>
          <w:p w14:paraId="1EF4EA7D" w14:textId="77777777" w:rsidR="00E33508" w:rsidRPr="00990B05" w:rsidRDefault="00166ADC" w:rsidP="00166ADC">
            <w:pPr>
              <w:pStyle w:val="Default"/>
              <w:spacing w:line="26" w:lineRule="atLeast"/>
              <w:jc w:val="center"/>
              <w:rPr>
                <w:rFonts w:ascii="Arial" w:hAnsi="Arial" w:cs="Arial"/>
                <w:sz w:val="20"/>
                <w:szCs w:val="20"/>
              </w:rPr>
            </w:pPr>
            <w:r>
              <w:rPr>
                <w:rFonts w:ascii="Arial" w:hAnsi="Arial" w:cs="Arial"/>
                <w:sz w:val="20"/>
                <w:szCs w:val="20"/>
              </w:rPr>
              <w:t>I</w:t>
            </w:r>
            <w:r w:rsidR="00E33508" w:rsidRPr="00990B05">
              <w:rPr>
                <w:rFonts w:ascii="Arial" w:hAnsi="Arial" w:cs="Arial"/>
                <w:sz w:val="20"/>
                <w:szCs w:val="20"/>
              </w:rPr>
              <w:t>nstitucionalizados</w:t>
            </w:r>
          </w:p>
        </w:tc>
        <w:tc>
          <w:tcPr>
            <w:tcW w:w="893" w:type="pct"/>
            <w:shd w:val="clear" w:color="auto" w:fill="auto"/>
            <w:vAlign w:val="center"/>
          </w:tcPr>
          <w:p w14:paraId="34D4892A"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Seccional e descritivo</w:t>
            </w:r>
          </w:p>
        </w:tc>
        <w:tc>
          <w:tcPr>
            <w:tcW w:w="732" w:type="pct"/>
            <w:shd w:val="clear" w:color="auto" w:fill="auto"/>
            <w:vAlign w:val="center"/>
          </w:tcPr>
          <w:p w14:paraId="589EDC3C"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64</w:t>
            </w:r>
          </w:p>
        </w:tc>
        <w:tc>
          <w:tcPr>
            <w:tcW w:w="873" w:type="pct"/>
            <w:shd w:val="clear" w:color="auto" w:fill="auto"/>
            <w:vAlign w:val="center"/>
          </w:tcPr>
          <w:p w14:paraId="6173CAAD" w14:textId="77777777" w:rsidR="00166ADC" w:rsidRDefault="00166ADC" w:rsidP="00166ADC">
            <w:pPr>
              <w:pStyle w:val="Default"/>
              <w:spacing w:line="26" w:lineRule="atLeast"/>
              <w:jc w:val="center"/>
              <w:rPr>
                <w:rFonts w:ascii="Arial" w:hAnsi="Arial" w:cs="Arial"/>
                <w:sz w:val="20"/>
                <w:szCs w:val="20"/>
              </w:rPr>
            </w:pPr>
            <w:r>
              <w:rPr>
                <w:rFonts w:ascii="Arial" w:hAnsi="Arial" w:cs="Arial"/>
                <w:sz w:val="20"/>
                <w:szCs w:val="20"/>
              </w:rPr>
              <w:t>29,7%</w:t>
            </w:r>
          </w:p>
          <w:p w14:paraId="323349BB" w14:textId="77777777" w:rsidR="00E33508" w:rsidRPr="00990B05" w:rsidRDefault="00166ADC" w:rsidP="00166ADC">
            <w:pPr>
              <w:pStyle w:val="Default"/>
              <w:spacing w:line="26" w:lineRule="atLeast"/>
              <w:jc w:val="center"/>
              <w:rPr>
                <w:rFonts w:ascii="Arial" w:hAnsi="Arial" w:cs="Arial"/>
                <w:sz w:val="20"/>
                <w:szCs w:val="20"/>
              </w:rPr>
            </w:pPr>
            <w:r>
              <w:rPr>
                <w:rFonts w:ascii="Arial" w:hAnsi="Arial" w:cs="Arial"/>
                <w:sz w:val="20"/>
                <w:szCs w:val="20"/>
              </w:rPr>
              <w:t>Sexo feminino:</w:t>
            </w:r>
            <w:r w:rsidR="00E33508" w:rsidRPr="00990B05">
              <w:rPr>
                <w:rFonts w:ascii="Arial" w:hAnsi="Arial" w:cs="Arial"/>
                <w:sz w:val="20"/>
                <w:szCs w:val="20"/>
              </w:rPr>
              <w:t xml:space="preserve"> 26,1% </w:t>
            </w:r>
            <w:r>
              <w:rPr>
                <w:rFonts w:ascii="Arial" w:hAnsi="Arial" w:cs="Arial"/>
                <w:sz w:val="20"/>
                <w:szCs w:val="20"/>
              </w:rPr>
              <w:t>e sexo masculino:</w:t>
            </w:r>
            <w:r w:rsidR="00E33508" w:rsidRPr="00990B05">
              <w:rPr>
                <w:rFonts w:ascii="Arial" w:hAnsi="Arial" w:cs="Arial"/>
                <w:sz w:val="20"/>
                <w:szCs w:val="20"/>
              </w:rPr>
              <w:t xml:space="preserve"> 38,9% </w:t>
            </w:r>
          </w:p>
        </w:tc>
      </w:tr>
      <w:tr w:rsidR="00BB1020" w:rsidRPr="00E54649" w14:paraId="28903DC5" w14:textId="77777777" w:rsidTr="004C1B26">
        <w:trPr>
          <w:trHeight w:val="1559"/>
          <w:jc w:val="center"/>
        </w:trPr>
        <w:tc>
          <w:tcPr>
            <w:tcW w:w="607" w:type="pct"/>
            <w:shd w:val="clear" w:color="auto" w:fill="auto"/>
            <w:vAlign w:val="center"/>
          </w:tcPr>
          <w:p w14:paraId="47A5D8D8"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color w:val="auto"/>
                <w:sz w:val="20"/>
                <w:szCs w:val="20"/>
              </w:rPr>
              <w:t>Corona, Duarte, Lebrão (2014)</w:t>
            </w:r>
          </w:p>
        </w:tc>
        <w:tc>
          <w:tcPr>
            <w:tcW w:w="756" w:type="pct"/>
            <w:shd w:val="clear" w:color="auto" w:fill="auto"/>
            <w:vAlign w:val="center"/>
          </w:tcPr>
          <w:p w14:paraId="407CB09C"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São Paulo (SP)</w:t>
            </w:r>
          </w:p>
        </w:tc>
        <w:tc>
          <w:tcPr>
            <w:tcW w:w="1139" w:type="pct"/>
            <w:shd w:val="clear" w:color="auto" w:fill="auto"/>
            <w:vAlign w:val="center"/>
          </w:tcPr>
          <w:p w14:paraId="0A9017DB" w14:textId="77777777" w:rsidR="00E33508" w:rsidRPr="00990B05" w:rsidRDefault="002D109D" w:rsidP="006E75DD">
            <w:pPr>
              <w:pStyle w:val="Default"/>
              <w:spacing w:line="26" w:lineRule="atLeast"/>
              <w:jc w:val="center"/>
              <w:rPr>
                <w:rFonts w:ascii="Arial" w:hAnsi="Arial" w:cs="Arial"/>
                <w:sz w:val="20"/>
                <w:szCs w:val="20"/>
              </w:rPr>
            </w:pPr>
            <w:r>
              <w:rPr>
                <w:rFonts w:ascii="Arial" w:hAnsi="Arial" w:cs="Arial"/>
                <w:sz w:val="20"/>
                <w:szCs w:val="20"/>
              </w:rPr>
              <w:t>Amostra populacional</w:t>
            </w:r>
          </w:p>
        </w:tc>
        <w:tc>
          <w:tcPr>
            <w:tcW w:w="893" w:type="pct"/>
            <w:shd w:val="clear" w:color="auto" w:fill="auto"/>
            <w:vAlign w:val="center"/>
          </w:tcPr>
          <w:p w14:paraId="54EFF576"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Longitudinal</w:t>
            </w:r>
          </w:p>
        </w:tc>
        <w:tc>
          <w:tcPr>
            <w:tcW w:w="732" w:type="pct"/>
            <w:shd w:val="clear" w:color="auto" w:fill="auto"/>
            <w:vAlign w:val="center"/>
          </w:tcPr>
          <w:p w14:paraId="14A8A5F5"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1.256</w:t>
            </w:r>
          </w:p>
        </w:tc>
        <w:tc>
          <w:tcPr>
            <w:tcW w:w="873" w:type="pct"/>
            <w:shd w:val="clear" w:color="auto" w:fill="auto"/>
            <w:vAlign w:val="center"/>
          </w:tcPr>
          <w:p w14:paraId="24F365AC" w14:textId="77777777" w:rsidR="00E33508" w:rsidRPr="00990B05" w:rsidRDefault="00E33508" w:rsidP="005819D1">
            <w:pPr>
              <w:pStyle w:val="Default"/>
              <w:spacing w:line="26" w:lineRule="atLeast"/>
              <w:jc w:val="center"/>
              <w:rPr>
                <w:rFonts w:ascii="Arial" w:hAnsi="Arial" w:cs="Arial"/>
                <w:sz w:val="20"/>
                <w:szCs w:val="20"/>
              </w:rPr>
            </w:pPr>
            <w:r w:rsidRPr="00990B05">
              <w:rPr>
                <w:rFonts w:ascii="Arial" w:hAnsi="Arial" w:cs="Arial"/>
                <w:sz w:val="20"/>
                <w:szCs w:val="20"/>
              </w:rPr>
              <w:t xml:space="preserve">7,7%. </w:t>
            </w:r>
          </w:p>
        </w:tc>
      </w:tr>
      <w:tr w:rsidR="00BB1020" w:rsidRPr="00E54649" w14:paraId="3B59E1F6" w14:textId="77777777" w:rsidTr="004C1B26">
        <w:trPr>
          <w:trHeight w:val="1958"/>
          <w:jc w:val="center"/>
        </w:trPr>
        <w:tc>
          <w:tcPr>
            <w:tcW w:w="607" w:type="pct"/>
            <w:shd w:val="clear" w:color="auto" w:fill="auto"/>
            <w:vAlign w:val="center"/>
          </w:tcPr>
          <w:p w14:paraId="409E7094" w14:textId="77777777" w:rsidR="00E33508" w:rsidRPr="00990B05" w:rsidRDefault="00E33508" w:rsidP="006E75DD">
            <w:pPr>
              <w:pStyle w:val="Default"/>
              <w:spacing w:line="26" w:lineRule="atLeast"/>
              <w:jc w:val="center"/>
              <w:rPr>
                <w:rFonts w:ascii="Arial" w:hAnsi="Arial" w:cs="Arial"/>
                <w:color w:val="auto"/>
                <w:sz w:val="20"/>
                <w:szCs w:val="20"/>
              </w:rPr>
            </w:pPr>
            <w:r w:rsidRPr="00990B05">
              <w:rPr>
                <w:rFonts w:ascii="Arial" w:hAnsi="Arial" w:cs="Arial"/>
                <w:color w:val="auto"/>
                <w:sz w:val="20"/>
                <w:szCs w:val="20"/>
              </w:rPr>
              <w:t>Buffon  et al. (2015)</w:t>
            </w:r>
          </w:p>
        </w:tc>
        <w:tc>
          <w:tcPr>
            <w:tcW w:w="756" w:type="pct"/>
            <w:shd w:val="clear" w:color="auto" w:fill="auto"/>
            <w:vAlign w:val="center"/>
          </w:tcPr>
          <w:p w14:paraId="1951B895"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Porto Alegre (RS)</w:t>
            </w:r>
          </w:p>
          <w:p w14:paraId="6F22E54C" w14:textId="77777777" w:rsidR="00E33508" w:rsidRPr="00990B05" w:rsidRDefault="00E33508" w:rsidP="006E75DD">
            <w:pPr>
              <w:pStyle w:val="Default"/>
              <w:spacing w:line="26" w:lineRule="atLeast"/>
              <w:jc w:val="center"/>
              <w:rPr>
                <w:rFonts w:ascii="Arial" w:hAnsi="Arial" w:cs="Arial"/>
                <w:sz w:val="20"/>
                <w:szCs w:val="20"/>
              </w:rPr>
            </w:pPr>
          </w:p>
        </w:tc>
        <w:tc>
          <w:tcPr>
            <w:tcW w:w="1139" w:type="pct"/>
            <w:shd w:val="clear" w:color="auto" w:fill="auto"/>
            <w:vAlign w:val="center"/>
          </w:tcPr>
          <w:p w14:paraId="28C38527" w14:textId="77777777" w:rsidR="005819D1" w:rsidRDefault="005819D1" w:rsidP="005819D1">
            <w:pPr>
              <w:pStyle w:val="Default"/>
              <w:spacing w:line="26" w:lineRule="atLeast"/>
              <w:jc w:val="center"/>
              <w:rPr>
                <w:rFonts w:ascii="Arial" w:hAnsi="Arial" w:cs="Arial"/>
                <w:sz w:val="20"/>
                <w:szCs w:val="20"/>
              </w:rPr>
            </w:pPr>
            <w:r>
              <w:rPr>
                <w:rFonts w:ascii="Arial" w:hAnsi="Arial" w:cs="Arial"/>
                <w:sz w:val="20"/>
                <w:szCs w:val="20"/>
              </w:rPr>
              <w:t>Ambulatorial</w:t>
            </w:r>
          </w:p>
          <w:p w14:paraId="6FD7FC69" w14:textId="77777777" w:rsidR="00E33508" w:rsidRPr="00990B05" w:rsidRDefault="005819D1" w:rsidP="005819D1">
            <w:pPr>
              <w:pStyle w:val="Default"/>
              <w:spacing w:line="26" w:lineRule="atLeast"/>
              <w:jc w:val="center"/>
              <w:rPr>
                <w:rFonts w:ascii="Arial" w:hAnsi="Arial" w:cs="Arial"/>
                <w:sz w:val="20"/>
                <w:szCs w:val="20"/>
              </w:rPr>
            </w:pPr>
            <w:r>
              <w:rPr>
                <w:rFonts w:ascii="Arial" w:hAnsi="Arial" w:cs="Arial"/>
                <w:sz w:val="20"/>
                <w:szCs w:val="20"/>
              </w:rPr>
              <w:t>(Programa</w:t>
            </w:r>
            <w:r w:rsidR="00E33508" w:rsidRPr="00990B05">
              <w:rPr>
                <w:rFonts w:ascii="Arial" w:hAnsi="Arial" w:cs="Arial"/>
                <w:sz w:val="20"/>
                <w:szCs w:val="20"/>
              </w:rPr>
              <w:t xml:space="preserve"> Saúde da Família</w:t>
            </w:r>
            <w:r>
              <w:rPr>
                <w:rFonts w:ascii="Arial" w:hAnsi="Arial" w:cs="Arial"/>
                <w:sz w:val="20"/>
                <w:szCs w:val="20"/>
              </w:rPr>
              <w:t>)</w:t>
            </w:r>
          </w:p>
        </w:tc>
        <w:tc>
          <w:tcPr>
            <w:tcW w:w="893" w:type="pct"/>
            <w:shd w:val="clear" w:color="auto" w:fill="auto"/>
            <w:vAlign w:val="center"/>
          </w:tcPr>
          <w:p w14:paraId="4BFB40C7"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Transversal exploratório observacional</w:t>
            </w:r>
          </w:p>
        </w:tc>
        <w:tc>
          <w:tcPr>
            <w:tcW w:w="732" w:type="pct"/>
            <w:shd w:val="clear" w:color="auto" w:fill="auto"/>
            <w:vAlign w:val="center"/>
          </w:tcPr>
          <w:p w14:paraId="00F0FD38"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556</w:t>
            </w:r>
          </w:p>
        </w:tc>
        <w:tc>
          <w:tcPr>
            <w:tcW w:w="873" w:type="pct"/>
            <w:shd w:val="clear" w:color="auto" w:fill="auto"/>
            <w:vAlign w:val="center"/>
          </w:tcPr>
          <w:p w14:paraId="382F088A" w14:textId="77777777" w:rsidR="006E743E" w:rsidRDefault="006E743E" w:rsidP="006E743E">
            <w:pPr>
              <w:pStyle w:val="Default"/>
              <w:spacing w:line="26" w:lineRule="atLeast"/>
              <w:jc w:val="center"/>
              <w:rPr>
                <w:rFonts w:ascii="Arial" w:hAnsi="Arial" w:cs="Arial"/>
                <w:sz w:val="20"/>
                <w:szCs w:val="20"/>
              </w:rPr>
            </w:pPr>
            <w:r>
              <w:rPr>
                <w:rFonts w:ascii="Arial" w:hAnsi="Arial" w:cs="Arial"/>
                <w:sz w:val="20"/>
                <w:szCs w:val="20"/>
              </w:rPr>
              <w:t>8,8%</w:t>
            </w:r>
          </w:p>
          <w:p w14:paraId="7F675CA3" w14:textId="0D0DDD8F" w:rsidR="00E33508" w:rsidRPr="00990B05" w:rsidRDefault="006E743E" w:rsidP="006E743E">
            <w:pPr>
              <w:pStyle w:val="Default"/>
              <w:spacing w:line="26" w:lineRule="atLeast"/>
              <w:jc w:val="center"/>
              <w:rPr>
                <w:rFonts w:ascii="Arial" w:hAnsi="Arial" w:cs="Arial"/>
                <w:sz w:val="20"/>
                <w:szCs w:val="20"/>
              </w:rPr>
            </w:pPr>
            <w:r>
              <w:rPr>
                <w:rFonts w:ascii="Arial" w:hAnsi="Arial" w:cs="Arial"/>
                <w:sz w:val="20"/>
                <w:szCs w:val="20"/>
              </w:rPr>
              <w:t>Sexo feminino:</w:t>
            </w:r>
            <w:r w:rsidR="00400E22">
              <w:rPr>
                <w:rFonts w:ascii="Arial" w:hAnsi="Arial" w:cs="Arial"/>
                <w:sz w:val="20"/>
                <w:szCs w:val="20"/>
              </w:rPr>
              <w:t xml:space="preserve"> </w:t>
            </w:r>
            <w:r>
              <w:rPr>
                <w:rFonts w:ascii="Arial" w:hAnsi="Arial" w:cs="Arial"/>
                <w:sz w:val="20"/>
                <w:szCs w:val="20"/>
              </w:rPr>
              <w:t xml:space="preserve">8,1% e sexo masculino: </w:t>
            </w:r>
            <w:r w:rsidR="00E33508" w:rsidRPr="00990B05">
              <w:rPr>
                <w:rFonts w:ascii="Arial" w:hAnsi="Arial" w:cs="Arial"/>
                <w:sz w:val="20"/>
                <w:szCs w:val="20"/>
              </w:rPr>
              <w:t>10,1%</w:t>
            </w:r>
          </w:p>
        </w:tc>
      </w:tr>
      <w:tr w:rsidR="00BB1020" w:rsidRPr="00E54649" w14:paraId="277AF7D3" w14:textId="77777777" w:rsidTr="004C1B26">
        <w:trPr>
          <w:trHeight w:val="1701"/>
          <w:jc w:val="center"/>
        </w:trPr>
        <w:tc>
          <w:tcPr>
            <w:tcW w:w="607" w:type="pct"/>
            <w:shd w:val="clear" w:color="auto" w:fill="auto"/>
            <w:vAlign w:val="center"/>
          </w:tcPr>
          <w:p w14:paraId="023E60E1"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color w:val="auto"/>
                <w:sz w:val="20"/>
                <w:szCs w:val="20"/>
              </w:rPr>
              <w:t>Milagres et al. (2015)</w:t>
            </w:r>
          </w:p>
        </w:tc>
        <w:tc>
          <w:tcPr>
            <w:tcW w:w="756" w:type="pct"/>
            <w:shd w:val="clear" w:color="auto" w:fill="auto"/>
            <w:vAlign w:val="center"/>
          </w:tcPr>
          <w:p w14:paraId="2E17484B"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Viçosa (MG)</w:t>
            </w:r>
          </w:p>
        </w:tc>
        <w:tc>
          <w:tcPr>
            <w:tcW w:w="1139" w:type="pct"/>
            <w:shd w:val="clear" w:color="auto" w:fill="auto"/>
            <w:vAlign w:val="center"/>
          </w:tcPr>
          <w:p w14:paraId="4E3D33B3" w14:textId="77777777" w:rsidR="00E33508" w:rsidRPr="00990B05" w:rsidRDefault="00774760" w:rsidP="006E75DD">
            <w:pPr>
              <w:pStyle w:val="Default"/>
              <w:spacing w:line="26" w:lineRule="atLeast"/>
              <w:jc w:val="center"/>
              <w:rPr>
                <w:rFonts w:ascii="Arial" w:hAnsi="Arial" w:cs="Arial"/>
                <w:sz w:val="20"/>
                <w:szCs w:val="20"/>
              </w:rPr>
            </w:pPr>
            <w:r>
              <w:rPr>
                <w:rFonts w:ascii="Arial" w:hAnsi="Arial" w:cs="Arial"/>
                <w:sz w:val="20"/>
                <w:szCs w:val="20"/>
              </w:rPr>
              <w:t>Amostra populacional</w:t>
            </w:r>
          </w:p>
        </w:tc>
        <w:tc>
          <w:tcPr>
            <w:tcW w:w="893" w:type="pct"/>
            <w:shd w:val="clear" w:color="auto" w:fill="auto"/>
            <w:vAlign w:val="center"/>
          </w:tcPr>
          <w:p w14:paraId="1CF52B54"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Observacional e transversal</w:t>
            </w:r>
          </w:p>
        </w:tc>
        <w:tc>
          <w:tcPr>
            <w:tcW w:w="732" w:type="pct"/>
            <w:shd w:val="clear" w:color="auto" w:fill="auto"/>
            <w:vAlign w:val="center"/>
          </w:tcPr>
          <w:p w14:paraId="048BEC11"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349</w:t>
            </w:r>
          </w:p>
        </w:tc>
        <w:tc>
          <w:tcPr>
            <w:tcW w:w="873" w:type="pct"/>
            <w:shd w:val="clear" w:color="auto" w:fill="auto"/>
            <w:vAlign w:val="center"/>
          </w:tcPr>
          <w:p w14:paraId="06EC04A6" w14:textId="77777777" w:rsidR="00E33508" w:rsidRPr="00990B05" w:rsidRDefault="00E33508" w:rsidP="0074161F">
            <w:pPr>
              <w:pStyle w:val="Default"/>
              <w:spacing w:line="26" w:lineRule="atLeast"/>
              <w:jc w:val="center"/>
              <w:rPr>
                <w:rFonts w:ascii="Arial" w:hAnsi="Arial" w:cs="Arial"/>
                <w:sz w:val="20"/>
                <w:szCs w:val="20"/>
              </w:rPr>
            </w:pPr>
            <w:r w:rsidRPr="00990B05">
              <w:rPr>
                <w:rFonts w:ascii="Arial" w:hAnsi="Arial" w:cs="Arial"/>
                <w:sz w:val="20"/>
                <w:szCs w:val="20"/>
              </w:rPr>
              <w:t xml:space="preserve">11,7% </w:t>
            </w:r>
          </w:p>
        </w:tc>
      </w:tr>
      <w:tr w:rsidR="00BB1020" w:rsidRPr="00E54649" w14:paraId="06668811" w14:textId="77777777" w:rsidTr="004C1B26">
        <w:trPr>
          <w:trHeight w:val="1257"/>
          <w:jc w:val="center"/>
        </w:trPr>
        <w:tc>
          <w:tcPr>
            <w:tcW w:w="607" w:type="pct"/>
            <w:shd w:val="clear" w:color="auto" w:fill="auto"/>
            <w:vAlign w:val="center"/>
          </w:tcPr>
          <w:p w14:paraId="338210E0"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color w:val="auto"/>
                <w:sz w:val="20"/>
                <w:szCs w:val="20"/>
              </w:rPr>
              <w:t>Castelaci et al. (2016)</w:t>
            </w:r>
          </w:p>
        </w:tc>
        <w:tc>
          <w:tcPr>
            <w:tcW w:w="756" w:type="pct"/>
            <w:shd w:val="clear" w:color="auto" w:fill="auto"/>
            <w:vAlign w:val="center"/>
          </w:tcPr>
          <w:p w14:paraId="1FCE3632"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Nova Roma do Sul (RS)</w:t>
            </w:r>
          </w:p>
        </w:tc>
        <w:tc>
          <w:tcPr>
            <w:tcW w:w="1139" w:type="pct"/>
            <w:shd w:val="clear" w:color="auto" w:fill="auto"/>
            <w:vAlign w:val="center"/>
          </w:tcPr>
          <w:p w14:paraId="4501E751" w14:textId="77777777" w:rsidR="00E33508" w:rsidRPr="00990B05" w:rsidRDefault="00774760" w:rsidP="006E75DD">
            <w:pPr>
              <w:pStyle w:val="Default"/>
              <w:spacing w:line="26" w:lineRule="atLeast"/>
              <w:jc w:val="center"/>
              <w:rPr>
                <w:rFonts w:ascii="Arial" w:hAnsi="Arial" w:cs="Arial"/>
                <w:sz w:val="20"/>
                <w:szCs w:val="20"/>
              </w:rPr>
            </w:pPr>
            <w:r>
              <w:rPr>
                <w:rFonts w:ascii="Arial" w:hAnsi="Arial" w:cs="Arial"/>
                <w:sz w:val="20"/>
                <w:szCs w:val="20"/>
              </w:rPr>
              <w:t>Amostra populacional</w:t>
            </w:r>
          </w:p>
        </w:tc>
        <w:tc>
          <w:tcPr>
            <w:tcW w:w="893" w:type="pct"/>
            <w:shd w:val="clear" w:color="auto" w:fill="auto"/>
            <w:vAlign w:val="center"/>
          </w:tcPr>
          <w:p w14:paraId="7513EF61"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Transversal</w:t>
            </w:r>
          </w:p>
        </w:tc>
        <w:tc>
          <w:tcPr>
            <w:tcW w:w="732" w:type="pct"/>
            <w:shd w:val="clear" w:color="auto" w:fill="auto"/>
            <w:vAlign w:val="center"/>
          </w:tcPr>
          <w:p w14:paraId="18D35E17"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294</w:t>
            </w:r>
          </w:p>
        </w:tc>
        <w:tc>
          <w:tcPr>
            <w:tcW w:w="873" w:type="pct"/>
            <w:shd w:val="clear" w:color="auto" w:fill="auto"/>
            <w:vAlign w:val="center"/>
          </w:tcPr>
          <w:p w14:paraId="7FCD69F3" w14:textId="77777777" w:rsidR="00E33508" w:rsidRPr="00990B05" w:rsidRDefault="00774760" w:rsidP="00774760">
            <w:pPr>
              <w:pStyle w:val="Default"/>
              <w:spacing w:line="26" w:lineRule="atLeast"/>
              <w:jc w:val="center"/>
              <w:rPr>
                <w:rFonts w:ascii="Arial" w:hAnsi="Arial" w:cs="Arial"/>
                <w:sz w:val="20"/>
                <w:szCs w:val="20"/>
              </w:rPr>
            </w:pPr>
            <w:r>
              <w:rPr>
                <w:rFonts w:ascii="Arial" w:hAnsi="Arial" w:cs="Arial"/>
                <w:sz w:val="20"/>
                <w:szCs w:val="20"/>
              </w:rPr>
              <w:t>4,4%</w:t>
            </w:r>
          </w:p>
        </w:tc>
      </w:tr>
      <w:tr w:rsidR="00BB1020" w:rsidRPr="00E54649" w14:paraId="5870EACB" w14:textId="77777777" w:rsidTr="004C1B26">
        <w:trPr>
          <w:trHeight w:val="1833"/>
          <w:jc w:val="center"/>
        </w:trPr>
        <w:tc>
          <w:tcPr>
            <w:tcW w:w="607" w:type="pct"/>
            <w:shd w:val="clear" w:color="auto" w:fill="auto"/>
            <w:vAlign w:val="center"/>
          </w:tcPr>
          <w:p w14:paraId="267EA029"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lastRenderedPageBreak/>
              <w:t>Costa, Soares, Oliveira (2016)</w:t>
            </w:r>
          </w:p>
          <w:p w14:paraId="62D31045" w14:textId="77777777" w:rsidR="00E33508" w:rsidRPr="00990B05" w:rsidRDefault="00E33508" w:rsidP="006E75DD">
            <w:pPr>
              <w:pStyle w:val="Default"/>
              <w:spacing w:line="26" w:lineRule="atLeast"/>
              <w:rPr>
                <w:rFonts w:ascii="Arial" w:hAnsi="Arial" w:cs="Arial"/>
                <w:color w:val="FF0000"/>
                <w:sz w:val="20"/>
                <w:szCs w:val="20"/>
              </w:rPr>
            </w:pPr>
          </w:p>
        </w:tc>
        <w:tc>
          <w:tcPr>
            <w:tcW w:w="756" w:type="pct"/>
            <w:shd w:val="clear" w:color="auto" w:fill="auto"/>
            <w:vAlign w:val="center"/>
          </w:tcPr>
          <w:p w14:paraId="56241CED"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Sergipe (AL)</w:t>
            </w:r>
          </w:p>
        </w:tc>
        <w:tc>
          <w:tcPr>
            <w:tcW w:w="1139" w:type="pct"/>
            <w:shd w:val="clear" w:color="auto" w:fill="auto"/>
            <w:vAlign w:val="center"/>
          </w:tcPr>
          <w:p w14:paraId="4276A596" w14:textId="77777777" w:rsidR="00E33508" w:rsidRPr="00990B05" w:rsidRDefault="0028695A" w:rsidP="006E75DD">
            <w:pPr>
              <w:pStyle w:val="Default"/>
              <w:spacing w:line="26" w:lineRule="atLeast"/>
              <w:jc w:val="center"/>
              <w:rPr>
                <w:rFonts w:ascii="Arial" w:hAnsi="Arial" w:cs="Arial"/>
                <w:sz w:val="20"/>
                <w:szCs w:val="20"/>
              </w:rPr>
            </w:pPr>
            <w:r>
              <w:rPr>
                <w:rFonts w:ascii="Arial" w:hAnsi="Arial" w:cs="Arial"/>
                <w:sz w:val="20"/>
                <w:szCs w:val="20"/>
              </w:rPr>
              <w:t>Atendidos ambulatoriamente</w:t>
            </w:r>
          </w:p>
        </w:tc>
        <w:tc>
          <w:tcPr>
            <w:tcW w:w="893" w:type="pct"/>
            <w:shd w:val="clear" w:color="auto" w:fill="auto"/>
            <w:vAlign w:val="center"/>
          </w:tcPr>
          <w:p w14:paraId="5CBB3E23"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Transversal</w:t>
            </w:r>
          </w:p>
        </w:tc>
        <w:tc>
          <w:tcPr>
            <w:tcW w:w="732" w:type="pct"/>
            <w:shd w:val="clear" w:color="auto" w:fill="auto"/>
            <w:vAlign w:val="center"/>
          </w:tcPr>
          <w:p w14:paraId="164BABF8" w14:textId="77777777" w:rsidR="00E33508" w:rsidRPr="00990B05" w:rsidRDefault="00E33508" w:rsidP="006E75DD">
            <w:pPr>
              <w:pStyle w:val="Default"/>
              <w:spacing w:line="26" w:lineRule="atLeast"/>
              <w:jc w:val="center"/>
              <w:rPr>
                <w:rFonts w:ascii="Arial" w:hAnsi="Arial" w:cs="Arial"/>
                <w:sz w:val="20"/>
                <w:szCs w:val="20"/>
              </w:rPr>
            </w:pPr>
            <w:r w:rsidRPr="00990B05">
              <w:rPr>
                <w:rFonts w:ascii="Arial" w:hAnsi="Arial" w:cs="Arial"/>
                <w:sz w:val="20"/>
                <w:szCs w:val="20"/>
              </w:rPr>
              <w:t>159</w:t>
            </w:r>
          </w:p>
        </w:tc>
        <w:tc>
          <w:tcPr>
            <w:tcW w:w="873" w:type="pct"/>
            <w:shd w:val="clear" w:color="auto" w:fill="auto"/>
            <w:vAlign w:val="center"/>
          </w:tcPr>
          <w:p w14:paraId="7011081B" w14:textId="77777777" w:rsidR="00E33508" w:rsidRPr="00990B05" w:rsidRDefault="00D01DA2" w:rsidP="00D01DA2">
            <w:pPr>
              <w:pStyle w:val="Default"/>
              <w:spacing w:line="26" w:lineRule="atLeast"/>
              <w:jc w:val="center"/>
              <w:rPr>
                <w:rFonts w:ascii="Arial" w:hAnsi="Arial" w:cs="Arial"/>
                <w:sz w:val="20"/>
                <w:szCs w:val="20"/>
              </w:rPr>
            </w:pPr>
            <w:r>
              <w:rPr>
                <w:rFonts w:ascii="Arial" w:hAnsi="Arial" w:cs="Arial"/>
                <w:sz w:val="20"/>
                <w:szCs w:val="20"/>
              </w:rPr>
              <w:t>45,9%</w:t>
            </w:r>
          </w:p>
        </w:tc>
      </w:tr>
    </w:tbl>
    <w:p w14:paraId="7EEC58AA" w14:textId="77777777" w:rsidR="005439AB" w:rsidRDefault="00E33508" w:rsidP="005439AB">
      <w:pPr>
        <w:pStyle w:val="Default"/>
        <w:spacing w:after="120" w:line="26" w:lineRule="atLeast"/>
        <w:rPr>
          <w:rFonts w:ascii="Arial" w:hAnsi="Arial" w:cs="Arial"/>
          <w:sz w:val="20"/>
          <w:szCs w:val="22"/>
        </w:rPr>
      </w:pPr>
      <w:r w:rsidRPr="009D729B">
        <w:rPr>
          <w:rFonts w:ascii="Arial" w:hAnsi="Arial" w:cs="Arial"/>
          <w:sz w:val="20"/>
          <w:szCs w:val="22"/>
        </w:rPr>
        <w:t>Fonte:</w:t>
      </w:r>
      <w:r>
        <w:rPr>
          <w:rFonts w:ascii="Arial" w:hAnsi="Arial" w:cs="Arial"/>
          <w:sz w:val="20"/>
          <w:szCs w:val="22"/>
        </w:rPr>
        <w:t xml:space="preserve"> Elaborado pelas autoras.</w:t>
      </w:r>
    </w:p>
    <w:p w14:paraId="3BF0740E" w14:textId="77777777" w:rsidR="009C6804" w:rsidRDefault="009C6804" w:rsidP="009C6804">
      <w:pPr>
        <w:pStyle w:val="Default"/>
        <w:spacing w:after="120" w:line="26" w:lineRule="atLeast"/>
        <w:ind w:firstLine="708"/>
        <w:jc w:val="both"/>
        <w:rPr>
          <w:rFonts w:ascii="Arial" w:hAnsi="Arial" w:cs="Arial"/>
          <w:sz w:val="22"/>
          <w:szCs w:val="22"/>
        </w:rPr>
      </w:pPr>
    </w:p>
    <w:p w14:paraId="3D6DE4D4" w14:textId="5067EB74" w:rsidR="009C6804" w:rsidRDefault="009C6804" w:rsidP="009C6804">
      <w:pPr>
        <w:pStyle w:val="Default"/>
        <w:spacing w:after="120" w:line="26" w:lineRule="atLeast"/>
        <w:ind w:firstLine="708"/>
        <w:jc w:val="both"/>
        <w:rPr>
          <w:rFonts w:ascii="Arial" w:hAnsi="Arial" w:cs="Arial"/>
          <w:sz w:val="22"/>
          <w:szCs w:val="22"/>
        </w:rPr>
      </w:pPr>
      <w:r>
        <w:rPr>
          <w:rFonts w:ascii="Arial" w:hAnsi="Arial" w:cs="Arial"/>
          <w:sz w:val="22"/>
          <w:szCs w:val="22"/>
        </w:rPr>
        <w:t xml:space="preserve">No Quadro 2 são apresentados </w:t>
      </w:r>
      <w:r w:rsidR="00DD6174">
        <w:rPr>
          <w:rFonts w:ascii="Arial" w:hAnsi="Arial" w:cs="Arial"/>
          <w:sz w:val="22"/>
          <w:szCs w:val="22"/>
        </w:rPr>
        <w:t>dois</w:t>
      </w:r>
      <w:r>
        <w:rPr>
          <w:rFonts w:ascii="Arial" w:hAnsi="Arial" w:cs="Arial"/>
          <w:sz w:val="22"/>
          <w:szCs w:val="22"/>
        </w:rPr>
        <w:t xml:space="preserve"> artigos que apresentaram a ingestão de ferro.</w:t>
      </w:r>
    </w:p>
    <w:p w14:paraId="39403CF7" w14:textId="77777777" w:rsidR="00A049BF" w:rsidRDefault="00A049BF" w:rsidP="00252829">
      <w:pPr>
        <w:pStyle w:val="Default"/>
        <w:spacing w:after="120" w:line="26" w:lineRule="atLeast"/>
        <w:ind w:firstLine="708"/>
        <w:jc w:val="both"/>
        <w:rPr>
          <w:rFonts w:ascii="Arial" w:hAnsi="Arial" w:cs="Arial"/>
          <w:sz w:val="22"/>
          <w:szCs w:val="22"/>
        </w:rPr>
      </w:pPr>
    </w:p>
    <w:p w14:paraId="67118A1C" w14:textId="0AD5E90D" w:rsidR="009C6804" w:rsidRPr="00C544E3" w:rsidRDefault="009C6804" w:rsidP="009C6804">
      <w:pPr>
        <w:spacing w:after="120" w:line="26" w:lineRule="atLeast"/>
        <w:jc w:val="both"/>
        <w:rPr>
          <w:rFonts w:ascii="Arial" w:hAnsi="Arial" w:cs="Arial"/>
          <w:b/>
          <w:sz w:val="20"/>
          <w:szCs w:val="20"/>
        </w:rPr>
      </w:pPr>
      <w:r>
        <w:rPr>
          <w:rFonts w:ascii="Arial" w:hAnsi="Arial" w:cs="Arial"/>
          <w:b/>
          <w:sz w:val="20"/>
          <w:szCs w:val="20"/>
        </w:rPr>
        <w:t>Quadro 2</w:t>
      </w:r>
      <w:r w:rsidRPr="0018723D">
        <w:rPr>
          <w:rFonts w:ascii="Arial" w:hAnsi="Arial" w:cs="Arial"/>
          <w:b/>
          <w:sz w:val="20"/>
          <w:szCs w:val="20"/>
        </w:rPr>
        <w:t xml:space="preserve"> – </w:t>
      </w:r>
      <w:r>
        <w:rPr>
          <w:rFonts w:ascii="Arial" w:hAnsi="Arial" w:cs="Arial"/>
          <w:b/>
          <w:sz w:val="20"/>
          <w:szCs w:val="20"/>
        </w:rPr>
        <w:t>Principais resultados d</w:t>
      </w:r>
      <w:r w:rsidR="004537DA">
        <w:rPr>
          <w:rFonts w:ascii="Arial" w:hAnsi="Arial" w:cs="Arial"/>
          <w:b/>
          <w:sz w:val="20"/>
          <w:szCs w:val="20"/>
        </w:rPr>
        <w:t>a ingestão de ferro</w:t>
      </w:r>
      <w:r>
        <w:rPr>
          <w:rFonts w:ascii="Arial" w:hAnsi="Arial" w:cs="Arial"/>
          <w:b/>
          <w:sz w:val="20"/>
          <w:szCs w:val="20"/>
        </w:rPr>
        <w:t xml:space="preserve"> de idosos</w:t>
      </w:r>
      <w:r w:rsidR="004537DA">
        <w:rPr>
          <w:rFonts w:ascii="Arial" w:hAnsi="Arial" w:cs="Arial"/>
          <w:b/>
          <w:sz w:val="20"/>
          <w:szCs w:val="20"/>
        </w:rPr>
        <w:t xml:space="preserve"> brasileiros</w:t>
      </w:r>
      <w:r w:rsidR="00A3196C">
        <w:rPr>
          <w:rFonts w:ascii="Arial" w:hAnsi="Arial" w:cs="Arial"/>
          <w:b/>
          <w:sz w:val="20"/>
          <w:szCs w:val="20"/>
        </w:rPr>
        <w:t xml:space="preserve"> (2005-2016)</w:t>
      </w:r>
      <w:r w:rsidR="00A3196C" w:rsidRPr="00674A4E">
        <w:rPr>
          <w:rFonts w:ascii="Arial" w:hAnsi="Arial" w:cs="Arial"/>
          <w:b/>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77"/>
        <w:gridCol w:w="1700"/>
        <w:gridCol w:w="1596"/>
        <w:gridCol w:w="1240"/>
        <w:gridCol w:w="1666"/>
      </w:tblGrid>
      <w:tr w:rsidR="00F52F84" w:rsidRPr="00E54649" w14:paraId="1286E781" w14:textId="77777777" w:rsidTr="004C1B26">
        <w:trPr>
          <w:trHeight w:val="734"/>
          <w:jc w:val="center"/>
        </w:trPr>
        <w:tc>
          <w:tcPr>
            <w:tcW w:w="712" w:type="pct"/>
            <w:shd w:val="clear" w:color="auto" w:fill="auto"/>
            <w:vAlign w:val="center"/>
          </w:tcPr>
          <w:p w14:paraId="26EC45C4" w14:textId="77777777" w:rsidR="009C6804" w:rsidRPr="00E54649" w:rsidRDefault="009C6804" w:rsidP="00674A4E">
            <w:pPr>
              <w:pStyle w:val="Default"/>
              <w:spacing w:line="26" w:lineRule="atLeast"/>
              <w:jc w:val="center"/>
              <w:rPr>
                <w:rFonts w:ascii="Arial" w:hAnsi="Arial" w:cs="Arial"/>
                <w:b/>
                <w:sz w:val="20"/>
                <w:szCs w:val="20"/>
              </w:rPr>
            </w:pPr>
            <w:r w:rsidRPr="00E54649">
              <w:rPr>
                <w:rFonts w:ascii="Arial" w:hAnsi="Arial" w:cs="Arial"/>
                <w:b/>
                <w:sz w:val="20"/>
                <w:szCs w:val="20"/>
              </w:rPr>
              <w:t>Fonte</w:t>
            </w:r>
          </w:p>
        </w:tc>
        <w:tc>
          <w:tcPr>
            <w:tcW w:w="732" w:type="pct"/>
            <w:shd w:val="clear" w:color="auto" w:fill="auto"/>
            <w:vAlign w:val="center"/>
          </w:tcPr>
          <w:p w14:paraId="513D31C4" w14:textId="77777777" w:rsidR="009C6804" w:rsidRPr="00E54649" w:rsidRDefault="009C6804" w:rsidP="00674A4E">
            <w:pPr>
              <w:pStyle w:val="Default"/>
              <w:spacing w:line="26" w:lineRule="atLeast"/>
              <w:jc w:val="center"/>
              <w:rPr>
                <w:rFonts w:ascii="Arial" w:hAnsi="Arial" w:cs="Arial"/>
                <w:b/>
                <w:sz w:val="20"/>
                <w:szCs w:val="20"/>
              </w:rPr>
            </w:pPr>
            <w:r w:rsidRPr="00E54649">
              <w:rPr>
                <w:rFonts w:ascii="Arial" w:hAnsi="Arial" w:cs="Arial"/>
                <w:b/>
                <w:sz w:val="20"/>
                <w:szCs w:val="20"/>
              </w:rPr>
              <w:t>Local</w:t>
            </w:r>
          </w:p>
        </w:tc>
        <w:tc>
          <w:tcPr>
            <w:tcW w:w="975" w:type="pct"/>
            <w:shd w:val="clear" w:color="auto" w:fill="auto"/>
            <w:vAlign w:val="center"/>
          </w:tcPr>
          <w:p w14:paraId="33AB0392" w14:textId="77777777" w:rsidR="009C6804" w:rsidRPr="00E54649" w:rsidRDefault="009C6804" w:rsidP="00674A4E">
            <w:pPr>
              <w:pStyle w:val="Default"/>
              <w:spacing w:line="26" w:lineRule="atLeast"/>
              <w:jc w:val="center"/>
              <w:rPr>
                <w:rFonts w:ascii="Arial" w:hAnsi="Arial" w:cs="Arial"/>
                <w:b/>
                <w:sz w:val="20"/>
                <w:szCs w:val="20"/>
              </w:rPr>
            </w:pPr>
            <w:r>
              <w:rPr>
                <w:rFonts w:ascii="Arial" w:hAnsi="Arial" w:cs="Arial"/>
                <w:b/>
                <w:sz w:val="20"/>
                <w:szCs w:val="20"/>
              </w:rPr>
              <w:t>Características assistenciais do idoso</w:t>
            </w:r>
          </w:p>
        </w:tc>
        <w:tc>
          <w:tcPr>
            <w:tcW w:w="915" w:type="pct"/>
            <w:shd w:val="clear" w:color="auto" w:fill="auto"/>
            <w:vAlign w:val="center"/>
          </w:tcPr>
          <w:p w14:paraId="42B4C9F0" w14:textId="77777777" w:rsidR="009C6804" w:rsidRPr="00E54649" w:rsidRDefault="009C6804" w:rsidP="00674A4E">
            <w:pPr>
              <w:pStyle w:val="Default"/>
              <w:spacing w:line="26" w:lineRule="atLeast"/>
              <w:jc w:val="center"/>
              <w:rPr>
                <w:rFonts w:ascii="Arial" w:hAnsi="Arial" w:cs="Arial"/>
                <w:b/>
                <w:sz w:val="20"/>
                <w:szCs w:val="20"/>
              </w:rPr>
            </w:pPr>
            <w:r w:rsidRPr="00E54649">
              <w:rPr>
                <w:rFonts w:ascii="Arial" w:hAnsi="Arial" w:cs="Arial"/>
                <w:b/>
                <w:sz w:val="20"/>
                <w:szCs w:val="20"/>
              </w:rPr>
              <w:t>Tipo de estudo</w:t>
            </w:r>
          </w:p>
        </w:tc>
        <w:tc>
          <w:tcPr>
            <w:tcW w:w="711" w:type="pct"/>
            <w:shd w:val="clear" w:color="auto" w:fill="auto"/>
            <w:vAlign w:val="center"/>
          </w:tcPr>
          <w:p w14:paraId="2CB3C41F" w14:textId="77777777" w:rsidR="009C6804" w:rsidRPr="00E54649" w:rsidRDefault="009C6804" w:rsidP="00674A4E">
            <w:pPr>
              <w:pStyle w:val="Default"/>
              <w:spacing w:line="26" w:lineRule="atLeast"/>
              <w:jc w:val="center"/>
              <w:rPr>
                <w:rFonts w:ascii="Arial" w:hAnsi="Arial" w:cs="Arial"/>
                <w:b/>
                <w:sz w:val="20"/>
                <w:szCs w:val="20"/>
              </w:rPr>
            </w:pPr>
            <w:r w:rsidRPr="00E54649">
              <w:rPr>
                <w:rFonts w:ascii="Arial" w:hAnsi="Arial" w:cs="Arial"/>
                <w:b/>
                <w:sz w:val="20"/>
                <w:szCs w:val="20"/>
              </w:rPr>
              <w:t>Avaliados</w:t>
            </w:r>
          </w:p>
        </w:tc>
        <w:tc>
          <w:tcPr>
            <w:tcW w:w="955" w:type="pct"/>
            <w:shd w:val="clear" w:color="auto" w:fill="auto"/>
            <w:vAlign w:val="center"/>
          </w:tcPr>
          <w:p w14:paraId="07779B21" w14:textId="732FC44A" w:rsidR="009C6804" w:rsidRPr="00E54649" w:rsidRDefault="00485820" w:rsidP="00674A4E">
            <w:pPr>
              <w:pStyle w:val="Default"/>
              <w:spacing w:line="26" w:lineRule="atLeast"/>
              <w:jc w:val="center"/>
              <w:rPr>
                <w:rFonts w:ascii="Arial" w:hAnsi="Arial" w:cs="Arial"/>
                <w:b/>
                <w:sz w:val="20"/>
                <w:szCs w:val="20"/>
              </w:rPr>
            </w:pPr>
            <w:r>
              <w:rPr>
                <w:rFonts w:ascii="Arial" w:hAnsi="Arial" w:cs="Arial"/>
                <w:b/>
                <w:sz w:val="20"/>
                <w:szCs w:val="20"/>
              </w:rPr>
              <w:t>Média de ingestão</w:t>
            </w:r>
          </w:p>
        </w:tc>
      </w:tr>
      <w:tr w:rsidR="00F52F84" w:rsidRPr="00E54649" w14:paraId="063FDB47" w14:textId="77777777" w:rsidTr="004C1B26">
        <w:trPr>
          <w:trHeight w:val="1465"/>
          <w:jc w:val="center"/>
        </w:trPr>
        <w:tc>
          <w:tcPr>
            <w:tcW w:w="712" w:type="pct"/>
            <w:shd w:val="clear" w:color="auto" w:fill="auto"/>
            <w:vAlign w:val="center"/>
          </w:tcPr>
          <w:p w14:paraId="5C6C0146" w14:textId="68FCAD1F" w:rsidR="00485820" w:rsidRPr="00990B05" w:rsidRDefault="00485820" w:rsidP="00674A4E">
            <w:pPr>
              <w:pStyle w:val="Default"/>
              <w:spacing w:line="26" w:lineRule="atLeast"/>
              <w:jc w:val="center"/>
              <w:rPr>
                <w:rFonts w:ascii="Arial" w:hAnsi="Arial" w:cs="Arial"/>
                <w:sz w:val="20"/>
                <w:szCs w:val="20"/>
              </w:rPr>
            </w:pPr>
            <w:r>
              <w:rPr>
                <w:rFonts w:ascii="Arial" w:hAnsi="Arial" w:cs="Arial"/>
                <w:sz w:val="20"/>
                <w:szCs w:val="20"/>
              </w:rPr>
              <w:t>Menezes, Marucci, Holanda (2005)</w:t>
            </w:r>
          </w:p>
        </w:tc>
        <w:tc>
          <w:tcPr>
            <w:tcW w:w="732" w:type="pct"/>
            <w:shd w:val="clear" w:color="auto" w:fill="auto"/>
            <w:vAlign w:val="center"/>
          </w:tcPr>
          <w:p w14:paraId="3679CA39" w14:textId="06A0BC91" w:rsidR="00485820" w:rsidRPr="00990B05" w:rsidRDefault="00485820" w:rsidP="00674A4E">
            <w:pPr>
              <w:pStyle w:val="Default"/>
              <w:spacing w:line="26" w:lineRule="atLeast"/>
              <w:jc w:val="center"/>
              <w:rPr>
                <w:rFonts w:ascii="Arial" w:hAnsi="Arial" w:cs="Arial"/>
                <w:sz w:val="20"/>
                <w:szCs w:val="20"/>
              </w:rPr>
            </w:pPr>
            <w:r>
              <w:rPr>
                <w:rFonts w:ascii="Arial" w:hAnsi="Arial" w:cs="Arial"/>
                <w:sz w:val="20"/>
                <w:szCs w:val="20"/>
              </w:rPr>
              <w:t>Fortaleza (CE)</w:t>
            </w:r>
          </w:p>
        </w:tc>
        <w:tc>
          <w:tcPr>
            <w:tcW w:w="975" w:type="pct"/>
            <w:shd w:val="clear" w:color="auto" w:fill="auto"/>
            <w:vAlign w:val="center"/>
          </w:tcPr>
          <w:p w14:paraId="794FC6D8" w14:textId="77E09E79" w:rsidR="00485820" w:rsidRPr="00990B05" w:rsidRDefault="00485820" w:rsidP="00674A4E">
            <w:pPr>
              <w:pStyle w:val="Default"/>
              <w:spacing w:line="26" w:lineRule="atLeast"/>
              <w:jc w:val="center"/>
              <w:rPr>
                <w:rFonts w:ascii="Arial" w:hAnsi="Arial" w:cs="Arial"/>
                <w:sz w:val="20"/>
                <w:szCs w:val="20"/>
              </w:rPr>
            </w:pPr>
            <w:r>
              <w:rPr>
                <w:rFonts w:ascii="Arial" w:hAnsi="Arial" w:cs="Arial"/>
                <w:sz w:val="20"/>
                <w:szCs w:val="20"/>
              </w:rPr>
              <w:t>Avaliar a ingestão alimentar de cálcio e ferro por idosos residentes em instituições geriátricas</w:t>
            </w:r>
          </w:p>
        </w:tc>
        <w:tc>
          <w:tcPr>
            <w:tcW w:w="915" w:type="pct"/>
            <w:shd w:val="clear" w:color="auto" w:fill="auto"/>
            <w:vAlign w:val="center"/>
          </w:tcPr>
          <w:p w14:paraId="048C3A05" w14:textId="77777777" w:rsidR="00485820" w:rsidRPr="00990B05" w:rsidRDefault="00485820" w:rsidP="00674A4E">
            <w:pPr>
              <w:pStyle w:val="Default"/>
              <w:spacing w:line="26" w:lineRule="atLeast"/>
              <w:jc w:val="center"/>
              <w:rPr>
                <w:rFonts w:ascii="Arial" w:hAnsi="Arial" w:cs="Arial"/>
                <w:sz w:val="20"/>
                <w:szCs w:val="20"/>
              </w:rPr>
            </w:pPr>
            <w:r w:rsidRPr="00990B05">
              <w:rPr>
                <w:rFonts w:ascii="Arial" w:hAnsi="Arial" w:cs="Arial"/>
                <w:sz w:val="20"/>
                <w:szCs w:val="20"/>
              </w:rPr>
              <w:t>Transversal</w:t>
            </w:r>
          </w:p>
        </w:tc>
        <w:tc>
          <w:tcPr>
            <w:tcW w:w="711" w:type="pct"/>
            <w:shd w:val="clear" w:color="auto" w:fill="auto"/>
            <w:vAlign w:val="center"/>
          </w:tcPr>
          <w:p w14:paraId="129A7483" w14:textId="2B6451A6" w:rsidR="00485820" w:rsidRPr="00990B05" w:rsidRDefault="00485820" w:rsidP="00674A4E">
            <w:pPr>
              <w:pStyle w:val="Default"/>
              <w:spacing w:line="26" w:lineRule="atLeast"/>
              <w:jc w:val="center"/>
              <w:rPr>
                <w:rFonts w:ascii="Arial" w:hAnsi="Arial" w:cs="Arial"/>
                <w:sz w:val="20"/>
                <w:szCs w:val="20"/>
              </w:rPr>
            </w:pPr>
            <w:r>
              <w:rPr>
                <w:rFonts w:ascii="Arial" w:hAnsi="Arial" w:cs="Arial"/>
                <w:sz w:val="20"/>
                <w:szCs w:val="20"/>
              </w:rPr>
              <w:t>152</w:t>
            </w:r>
          </w:p>
        </w:tc>
        <w:tc>
          <w:tcPr>
            <w:tcW w:w="955" w:type="pct"/>
            <w:shd w:val="clear" w:color="auto" w:fill="auto"/>
            <w:vAlign w:val="center"/>
          </w:tcPr>
          <w:p w14:paraId="695F40A5" w14:textId="38B6E2D4" w:rsidR="00485820" w:rsidRPr="00990B05" w:rsidRDefault="00485820">
            <w:pPr>
              <w:pStyle w:val="Default"/>
              <w:spacing w:line="26" w:lineRule="atLeast"/>
              <w:jc w:val="center"/>
              <w:rPr>
                <w:rFonts w:ascii="Arial" w:hAnsi="Arial" w:cs="Arial"/>
                <w:sz w:val="20"/>
                <w:szCs w:val="20"/>
              </w:rPr>
            </w:pPr>
            <w:r>
              <w:rPr>
                <w:rFonts w:ascii="Arial" w:hAnsi="Arial" w:cs="Arial"/>
                <w:sz w:val="20"/>
                <w:szCs w:val="20"/>
              </w:rPr>
              <w:t>12,02±3,08 mg para ambos os sexos, com risco nutricional para anemia ferropriva nas mulheres</w:t>
            </w:r>
            <w:r w:rsidR="00152282">
              <w:rPr>
                <w:rFonts w:ascii="Arial" w:hAnsi="Arial" w:cs="Arial"/>
                <w:sz w:val="20"/>
                <w:szCs w:val="20"/>
              </w:rPr>
              <w:t>.</w:t>
            </w:r>
            <w:r w:rsidDel="00485820">
              <w:rPr>
                <w:rFonts w:ascii="Arial" w:hAnsi="Arial" w:cs="Arial"/>
                <w:sz w:val="20"/>
                <w:szCs w:val="20"/>
              </w:rPr>
              <w:t xml:space="preserve"> </w:t>
            </w:r>
          </w:p>
        </w:tc>
      </w:tr>
      <w:tr w:rsidR="00F52F84" w:rsidRPr="00E54649" w14:paraId="5E839A3F" w14:textId="77777777" w:rsidTr="004C1B26">
        <w:trPr>
          <w:trHeight w:val="1465"/>
          <w:jc w:val="center"/>
        </w:trPr>
        <w:tc>
          <w:tcPr>
            <w:tcW w:w="712" w:type="pct"/>
            <w:shd w:val="clear" w:color="auto" w:fill="auto"/>
            <w:vAlign w:val="center"/>
          </w:tcPr>
          <w:p w14:paraId="1DAACB1F" w14:textId="6D5EFBE1" w:rsidR="00F52F84" w:rsidRPr="00990B05" w:rsidRDefault="00F52F84" w:rsidP="00674A4E">
            <w:pPr>
              <w:pStyle w:val="Default"/>
              <w:spacing w:line="26" w:lineRule="atLeast"/>
              <w:jc w:val="center"/>
              <w:rPr>
                <w:rFonts w:ascii="Arial" w:hAnsi="Arial" w:cs="Arial"/>
                <w:sz w:val="20"/>
                <w:szCs w:val="20"/>
              </w:rPr>
            </w:pPr>
            <w:r>
              <w:rPr>
                <w:rFonts w:ascii="Arial" w:hAnsi="Arial" w:cs="Arial"/>
                <w:sz w:val="20"/>
                <w:szCs w:val="20"/>
              </w:rPr>
              <w:t>Lopes et al. (2005)</w:t>
            </w:r>
          </w:p>
        </w:tc>
        <w:tc>
          <w:tcPr>
            <w:tcW w:w="732" w:type="pct"/>
            <w:shd w:val="clear" w:color="auto" w:fill="auto"/>
            <w:vAlign w:val="center"/>
          </w:tcPr>
          <w:p w14:paraId="6FF1CCCA" w14:textId="77777777" w:rsidR="00F52F84" w:rsidRDefault="00F52F84" w:rsidP="00674A4E">
            <w:pPr>
              <w:pStyle w:val="Default"/>
              <w:spacing w:line="26" w:lineRule="atLeast"/>
              <w:jc w:val="center"/>
              <w:rPr>
                <w:rFonts w:ascii="Arial" w:hAnsi="Arial" w:cs="Arial"/>
                <w:sz w:val="20"/>
                <w:szCs w:val="20"/>
              </w:rPr>
            </w:pPr>
          </w:p>
          <w:p w14:paraId="3C3F2C58" w14:textId="2A4A4A82" w:rsidR="00F52F84" w:rsidRPr="00990B05" w:rsidRDefault="00F52F84" w:rsidP="00674A4E">
            <w:pPr>
              <w:pStyle w:val="Default"/>
              <w:spacing w:line="26" w:lineRule="atLeast"/>
              <w:jc w:val="center"/>
              <w:rPr>
                <w:rFonts w:ascii="Arial" w:hAnsi="Arial" w:cs="Arial"/>
                <w:sz w:val="20"/>
                <w:szCs w:val="20"/>
              </w:rPr>
            </w:pPr>
            <w:r>
              <w:rPr>
                <w:rFonts w:ascii="Arial" w:hAnsi="Arial" w:cs="Arial"/>
                <w:sz w:val="20"/>
                <w:szCs w:val="20"/>
              </w:rPr>
              <w:t>Bambuí (MG)</w:t>
            </w:r>
          </w:p>
        </w:tc>
        <w:tc>
          <w:tcPr>
            <w:tcW w:w="975" w:type="pct"/>
            <w:shd w:val="clear" w:color="auto" w:fill="auto"/>
            <w:vAlign w:val="center"/>
          </w:tcPr>
          <w:p w14:paraId="5E94FBC4" w14:textId="7F193111" w:rsidR="00F52F84" w:rsidRDefault="00F52F84" w:rsidP="00674A4E">
            <w:pPr>
              <w:pStyle w:val="Default"/>
              <w:spacing w:line="26" w:lineRule="atLeast"/>
              <w:jc w:val="center"/>
              <w:rPr>
                <w:rFonts w:ascii="Arial" w:hAnsi="Arial" w:cs="Arial"/>
                <w:sz w:val="20"/>
                <w:szCs w:val="20"/>
              </w:rPr>
            </w:pPr>
            <w:r>
              <w:rPr>
                <w:rFonts w:ascii="Arial" w:hAnsi="Arial" w:cs="Arial"/>
                <w:sz w:val="20"/>
                <w:szCs w:val="20"/>
              </w:rPr>
              <w:t>Verificar a adequação da ingestão de nutrientes, de acordo com as recomendações nutricionais, enfocando principalmente as diferenças de sexo e idade</w:t>
            </w:r>
          </w:p>
        </w:tc>
        <w:tc>
          <w:tcPr>
            <w:tcW w:w="915" w:type="pct"/>
            <w:shd w:val="clear" w:color="auto" w:fill="auto"/>
            <w:vAlign w:val="center"/>
          </w:tcPr>
          <w:p w14:paraId="148B7934" w14:textId="047C6333" w:rsidR="00F52F84" w:rsidRPr="00990B05" w:rsidRDefault="00F52F84" w:rsidP="00674A4E">
            <w:pPr>
              <w:pStyle w:val="Default"/>
              <w:spacing w:line="26" w:lineRule="atLeast"/>
              <w:jc w:val="center"/>
              <w:rPr>
                <w:rFonts w:ascii="Arial" w:hAnsi="Arial" w:cs="Arial"/>
                <w:sz w:val="20"/>
                <w:szCs w:val="20"/>
              </w:rPr>
            </w:pPr>
            <w:r>
              <w:rPr>
                <w:rFonts w:ascii="Arial" w:hAnsi="Arial" w:cs="Arial"/>
                <w:sz w:val="20"/>
                <w:szCs w:val="20"/>
              </w:rPr>
              <w:t>Observacional transversal</w:t>
            </w:r>
          </w:p>
        </w:tc>
        <w:tc>
          <w:tcPr>
            <w:tcW w:w="711" w:type="pct"/>
            <w:shd w:val="clear" w:color="auto" w:fill="auto"/>
            <w:vAlign w:val="center"/>
          </w:tcPr>
          <w:p w14:paraId="45B5820D" w14:textId="50A1DB49" w:rsidR="00F52F84" w:rsidRPr="00990B05" w:rsidRDefault="00F52F84">
            <w:pPr>
              <w:pStyle w:val="Default"/>
              <w:spacing w:line="26" w:lineRule="atLeast"/>
              <w:jc w:val="center"/>
              <w:rPr>
                <w:rFonts w:ascii="Arial" w:hAnsi="Arial" w:cs="Arial"/>
                <w:sz w:val="20"/>
                <w:szCs w:val="20"/>
              </w:rPr>
            </w:pPr>
            <w:r>
              <w:rPr>
                <w:rFonts w:ascii="Arial" w:hAnsi="Arial" w:cs="Arial"/>
                <w:sz w:val="20"/>
                <w:szCs w:val="20"/>
              </w:rPr>
              <w:t>84</w:t>
            </w:r>
          </w:p>
        </w:tc>
        <w:tc>
          <w:tcPr>
            <w:tcW w:w="955" w:type="pct"/>
            <w:shd w:val="clear" w:color="auto" w:fill="auto"/>
            <w:vAlign w:val="center"/>
          </w:tcPr>
          <w:p w14:paraId="5F4B1579" w14:textId="56050A8A" w:rsidR="00F52F84" w:rsidRDefault="00F52F84">
            <w:pPr>
              <w:pStyle w:val="Default"/>
              <w:spacing w:line="26" w:lineRule="atLeast"/>
              <w:jc w:val="center"/>
              <w:rPr>
                <w:rFonts w:ascii="Arial" w:hAnsi="Arial" w:cs="Arial"/>
                <w:sz w:val="20"/>
                <w:szCs w:val="20"/>
              </w:rPr>
            </w:pPr>
            <w:r>
              <w:rPr>
                <w:rFonts w:ascii="Arial" w:hAnsi="Arial" w:cs="Arial"/>
                <w:sz w:val="20"/>
                <w:szCs w:val="20"/>
              </w:rPr>
              <w:t xml:space="preserve">O consumo </w:t>
            </w:r>
            <w:r w:rsidR="00B70E48">
              <w:rPr>
                <w:rFonts w:ascii="Arial" w:hAnsi="Arial" w:cs="Arial"/>
                <w:sz w:val="20"/>
                <w:szCs w:val="20"/>
              </w:rPr>
              <w:t xml:space="preserve">de </w:t>
            </w:r>
            <w:r>
              <w:rPr>
                <w:rFonts w:ascii="Arial" w:hAnsi="Arial" w:cs="Arial"/>
                <w:sz w:val="20"/>
                <w:szCs w:val="20"/>
              </w:rPr>
              <w:t xml:space="preserve">ferro foi 36,9% abaixo do recomendado </w:t>
            </w:r>
          </w:p>
        </w:tc>
      </w:tr>
    </w:tbl>
    <w:p w14:paraId="3FF00485" w14:textId="050E3DC7" w:rsidR="00CB5460" w:rsidRDefault="00EB1F19" w:rsidP="004C1B26">
      <w:pPr>
        <w:pStyle w:val="Default"/>
        <w:spacing w:after="120" w:line="26" w:lineRule="atLeast"/>
        <w:rPr>
          <w:rFonts w:ascii="Arial" w:hAnsi="Arial" w:cs="Arial"/>
          <w:sz w:val="20"/>
          <w:szCs w:val="22"/>
        </w:rPr>
      </w:pPr>
      <w:r w:rsidRPr="009D729B">
        <w:rPr>
          <w:rFonts w:ascii="Arial" w:hAnsi="Arial" w:cs="Arial"/>
          <w:sz w:val="20"/>
          <w:szCs w:val="22"/>
        </w:rPr>
        <w:t>Fonte:</w:t>
      </w:r>
      <w:r>
        <w:rPr>
          <w:rFonts w:ascii="Arial" w:hAnsi="Arial" w:cs="Arial"/>
          <w:sz w:val="20"/>
          <w:szCs w:val="22"/>
        </w:rPr>
        <w:t xml:space="preserve"> Elaborado pelas autoras.</w:t>
      </w:r>
    </w:p>
    <w:p w14:paraId="67EECA42" w14:textId="77777777" w:rsidR="00EB1F19" w:rsidRPr="004C1B26" w:rsidRDefault="00EB1F19" w:rsidP="004C1B26">
      <w:pPr>
        <w:pStyle w:val="Default"/>
        <w:spacing w:after="120" w:line="26" w:lineRule="atLeast"/>
        <w:rPr>
          <w:rFonts w:ascii="Arial" w:hAnsi="Arial" w:cs="Arial"/>
          <w:sz w:val="20"/>
          <w:szCs w:val="22"/>
        </w:rPr>
      </w:pPr>
    </w:p>
    <w:p w14:paraId="39060AED" w14:textId="1A723EA8" w:rsidR="00991BC1" w:rsidRDefault="00991BC1" w:rsidP="004C1B26">
      <w:pPr>
        <w:pStyle w:val="Default"/>
        <w:spacing w:after="120" w:line="26" w:lineRule="atLeast"/>
        <w:jc w:val="both"/>
        <w:rPr>
          <w:rFonts w:ascii="Arial" w:hAnsi="Arial" w:cs="Arial"/>
          <w:sz w:val="22"/>
          <w:szCs w:val="22"/>
        </w:rPr>
      </w:pPr>
      <w:r>
        <w:rPr>
          <w:rFonts w:ascii="Arial" w:hAnsi="Arial" w:cs="Arial"/>
          <w:sz w:val="22"/>
          <w:szCs w:val="22"/>
        </w:rPr>
        <w:tab/>
      </w:r>
      <w:r w:rsidR="002D0F7A">
        <w:rPr>
          <w:rFonts w:ascii="Arial" w:hAnsi="Arial" w:cs="Arial"/>
          <w:sz w:val="22"/>
          <w:szCs w:val="22"/>
        </w:rPr>
        <w:t>Ademais, o Quadro 3 apresenta dois artigos que apresentam a associação de baixos níveis de Hb com aspectos como mortalidade e capacidade física funcional dos idosos.</w:t>
      </w:r>
    </w:p>
    <w:p w14:paraId="3A6B8612" w14:textId="37DDFAC4" w:rsidR="002D0F7A" w:rsidRDefault="002D0F7A" w:rsidP="004C1B26">
      <w:pPr>
        <w:pStyle w:val="Default"/>
        <w:spacing w:after="120" w:line="26" w:lineRule="atLeast"/>
        <w:jc w:val="both"/>
        <w:rPr>
          <w:rFonts w:ascii="Arial" w:hAnsi="Arial" w:cs="Arial"/>
          <w:sz w:val="22"/>
          <w:szCs w:val="22"/>
        </w:rPr>
      </w:pPr>
      <w:r>
        <w:rPr>
          <w:rFonts w:ascii="Arial" w:hAnsi="Arial" w:cs="Arial"/>
          <w:sz w:val="22"/>
          <w:szCs w:val="22"/>
        </w:rPr>
        <w:t xml:space="preserve"> </w:t>
      </w:r>
    </w:p>
    <w:p w14:paraId="043615D3" w14:textId="339B363C" w:rsidR="00991BC1" w:rsidRPr="00C544E3" w:rsidRDefault="00991BC1" w:rsidP="00991BC1">
      <w:pPr>
        <w:spacing w:after="120" w:line="26" w:lineRule="atLeast"/>
        <w:jc w:val="both"/>
        <w:rPr>
          <w:rFonts w:ascii="Arial" w:hAnsi="Arial" w:cs="Arial"/>
          <w:b/>
          <w:sz w:val="20"/>
          <w:szCs w:val="20"/>
        </w:rPr>
      </w:pPr>
      <w:r>
        <w:rPr>
          <w:rFonts w:ascii="Arial" w:hAnsi="Arial" w:cs="Arial"/>
          <w:b/>
          <w:sz w:val="20"/>
          <w:szCs w:val="20"/>
        </w:rPr>
        <w:t>Quadro 3</w:t>
      </w:r>
      <w:r w:rsidRPr="0018723D">
        <w:rPr>
          <w:rFonts w:ascii="Arial" w:hAnsi="Arial" w:cs="Arial"/>
          <w:b/>
          <w:sz w:val="20"/>
          <w:szCs w:val="20"/>
        </w:rPr>
        <w:t xml:space="preserve"> – </w:t>
      </w:r>
      <w:r>
        <w:rPr>
          <w:rFonts w:ascii="Arial" w:hAnsi="Arial" w:cs="Arial"/>
          <w:b/>
          <w:sz w:val="20"/>
          <w:szCs w:val="20"/>
        </w:rPr>
        <w:t>Artigos que avaliam a associação da anemia com mortalidade e capacidade física funcional</w:t>
      </w:r>
      <w:r w:rsidR="00A3196C">
        <w:rPr>
          <w:rFonts w:ascii="Arial" w:hAnsi="Arial" w:cs="Arial"/>
          <w:b/>
          <w:sz w:val="20"/>
          <w:szCs w:val="20"/>
        </w:rPr>
        <w:t xml:space="preserve"> de idosos brasileiros (2005-2016)</w:t>
      </w:r>
      <w:r w:rsidR="00A3196C" w:rsidRPr="00674A4E">
        <w:rPr>
          <w:rFonts w:ascii="Arial" w:hAnsi="Arial" w:cs="Arial"/>
          <w:b/>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77"/>
        <w:gridCol w:w="1700"/>
        <w:gridCol w:w="1596"/>
        <w:gridCol w:w="1240"/>
        <w:gridCol w:w="1666"/>
      </w:tblGrid>
      <w:tr w:rsidR="00991BC1" w:rsidRPr="00E54649" w14:paraId="0312F536" w14:textId="77777777" w:rsidTr="00674A4E">
        <w:trPr>
          <w:trHeight w:val="734"/>
          <w:jc w:val="center"/>
        </w:trPr>
        <w:tc>
          <w:tcPr>
            <w:tcW w:w="712" w:type="pct"/>
            <w:shd w:val="clear" w:color="auto" w:fill="auto"/>
            <w:vAlign w:val="center"/>
          </w:tcPr>
          <w:p w14:paraId="29F0020A" w14:textId="77777777" w:rsidR="00991BC1" w:rsidRPr="00E54649" w:rsidRDefault="00991BC1" w:rsidP="00674A4E">
            <w:pPr>
              <w:pStyle w:val="Default"/>
              <w:spacing w:line="26" w:lineRule="atLeast"/>
              <w:jc w:val="center"/>
              <w:rPr>
                <w:rFonts w:ascii="Arial" w:hAnsi="Arial" w:cs="Arial"/>
                <w:b/>
                <w:sz w:val="20"/>
                <w:szCs w:val="20"/>
              </w:rPr>
            </w:pPr>
            <w:r w:rsidRPr="00E54649">
              <w:rPr>
                <w:rFonts w:ascii="Arial" w:hAnsi="Arial" w:cs="Arial"/>
                <w:b/>
                <w:sz w:val="20"/>
                <w:szCs w:val="20"/>
              </w:rPr>
              <w:t>Fonte</w:t>
            </w:r>
          </w:p>
        </w:tc>
        <w:tc>
          <w:tcPr>
            <w:tcW w:w="732" w:type="pct"/>
            <w:shd w:val="clear" w:color="auto" w:fill="auto"/>
            <w:vAlign w:val="center"/>
          </w:tcPr>
          <w:p w14:paraId="778B10EC" w14:textId="77777777" w:rsidR="00991BC1" w:rsidRPr="00E54649" w:rsidRDefault="00991BC1" w:rsidP="00674A4E">
            <w:pPr>
              <w:pStyle w:val="Default"/>
              <w:spacing w:line="26" w:lineRule="atLeast"/>
              <w:jc w:val="center"/>
              <w:rPr>
                <w:rFonts w:ascii="Arial" w:hAnsi="Arial" w:cs="Arial"/>
                <w:b/>
                <w:sz w:val="20"/>
                <w:szCs w:val="20"/>
              </w:rPr>
            </w:pPr>
            <w:r w:rsidRPr="00E54649">
              <w:rPr>
                <w:rFonts w:ascii="Arial" w:hAnsi="Arial" w:cs="Arial"/>
                <w:b/>
                <w:sz w:val="20"/>
                <w:szCs w:val="20"/>
              </w:rPr>
              <w:t>Local</w:t>
            </w:r>
          </w:p>
        </w:tc>
        <w:tc>
          <w:tcPr>
            <w:tcW w:w="975" w:type="pct"/>
            <w:shd w:val="clear" w:color="auto" w:fill="auto"/>
            <w:vAlign w:val="center"/>
          </w:tcPr>
          <w:p w14:paraId="2D151F07" w14:textId="77777777" w:rsidR="00991BC1" w:rsidRPr="00E54649" w:rsidRDefault="00991BC1" w:rsidP="00674A4E">
            <w:pPr>
              <w:pStyle w:val="Default"/>
              <w:spacing w:line="26" w:lineRule="atLeast"/>
              <w:jc w:val="center"/>
              <w:rPr>
                <w:rFonts w:ascii="Arial" w:hAnsi="Arial" w:cs="Arial"/>
                <w:b/>
                <w:sz w:val="20"/>
                <w:szCs w:val="20"/>
              </w:rPr>
            </w:pPr>
            <w:r>
              <w:rPr>
                <w:rFonts w:ascii="Arial" w:hAnsi="Arial" w:cs="Arial"/>
                <w:b/>
                <w:sz w:val="20"/>
                <w:szCs w:val="20"/>
              </w:rPr>
              <w:t>Características assistenciais do idoso</w:t>
            </w:r>
          </w:p>
        </w:tc>
        <w:tc>
          <w:tcPr>
            <w:tcW w:w="915" w:type="pct"/>
            <w:shd w:val="clear" w:color="auto" w:fill="auto"/>
            <w:vAlign w:val="center"/>
          </w:tcPr>
          <w:p w14:paraId="1E541B99" w14:textId="77777777" w:rsidR="00991BC1" w:rsidRPr="00E54649" w:rsidRDefault="00991BC1" w:rsidP="00674A4E">
            <w:pPr>
              <w:pStyle w:val="Default"/>
              <w:spacing w:line="26" w:lineRule="atLeast"/>
              <w:jc w:val="center"/>
              <w:rPr>
                <w:rFonts w:ascii="Arial" w:hAnsi="Arial" w:cs="Arial"/>
                <w:b/>
                <w:sz w:val="20"/>
                <w:szCs w:val="20"/>
              </w:rPr>
            </w:pPr>
            <w:r w:rsidRPr="00E54649">
              <w:rPr>
                <w:rFonts w:ascii="Arial" w:hAnsi="Arial" w:cs="Arial"/>
                <w:b/>
                <w:sz w:val="20"/>
                <w:szCs w:val="20"/>
              </w:rPr>
              <w:t>Tipo de estudo</w:t>
            </w:r>
          </w:p>
        </w:tc>
        <w:tc>
          <w:tcPr>
            <w:tcW w:w="711" w:type="pct"/>
            <w:shd w:val="clear" w:color="auto" w:fill="auto"/>
            <w:vAlign w:val="center"/>
          </w:tcPr>
          <w:p w14:paraId="1BB37E12" w14:textId="77777777" w:rsidR="00991BC1" w:rsidRPr="00E54649" w:rsidRDefault="00991BC1" w:rsidP="00674A4E">
            <w:pPr>
              <w:pStyle w:val="Default"/>
              <w:spacing w:line="26" w:lineRule="atLeast"/>
              <w:jc w:val="center"/>
              <w:rPr>
                <w:rFonts w:ascii="Arial" w:hAnsi="Arial" w:cs="Arial"/>
                <w:b/>
                <w:sz w:val="20"/>
                <w:szCs w:val="20"/>
              </w:rPr>
            </w:pPr>
            <w:r w:rsidRPr="00E54649">
              <w:rPr>
                <w:rFonts w:ascii="Arial" w:hAnsi="Arial" w:cs="Arial"/>
                <w:b/>
                <w:sz w:val="20"/>
                <w:szCs w:val="20"/>
              </w:rPr>
              <w:t>Avaliados</w:t>
            </w:r>
          </w:p>
        </w:tc>
        <w:tc>
          <w:tcPr>
            <w:tcW w:w="955" w:type="pct"/>
            <w:shd w:val="clear" w:color="auto" w:fill="auto"/>
            <w:vAlign w:val="center"/>
          </w:tcPr>
          <w:p w14:paraId="4FF848F0" w14:textId="77777777" w:rsidR="00991BC1" w:rsidRPr="00E54649" w:rsidRDefault="00991BC1" w:rsidP="00674A4E">
            <w:pPr>
              <w:pStyle w:val="Default"/>
              <w:spacing w:line="26" w:lineRule="atLeast"/>
              <w:jc w:val="center"/>
              <w:rPr>
                <w:rFonts w:ascii="Arial" w:hAnsi="Arial" w:cs="Arial"/>
                <w:b/>
                <w:sz w:val="20"/>
                <w:szCs w:val="20"/>
              </w:rPr>
            </w:pPr>
            <w:r>
              <w:rPr>
                <w:rFonts w:ascii="Arial" w:hAnsi="Arial" w:cs="Arial"/>
                <w:b/>
                <w:sz w:val="20"/>
                <w:szCs w:val="20"/>
              </w:rPr>
              <w:t>Média de ingestão</w:t>
            </w:r>
          </w:p>
        </w:tc>
      </w:tr>
      <w:tr w:rsidR="00991BC1" w:rsidRPr="00E54649" w14:paraId="22C27710" w14:textId="77777777" w:rsidTr="00674A4E">
        <w:trPr>
          <w:trHeight w:val="734"/>
          <w:jc w:val="center"/>
        </w:trPr>
        <w:tc>
          <w:tcPr>
            <w:tcW w:w="712" w:type="pct"/>
            <w:shd w:val="clear" w:color="auto" w:fill="auto"/>
            <w:vAlign w:val="center"/>
          </w:tcPr>
          <w:p w14:paraId="4489DE43" w14:textId="1609DD6D" w:rsidR="00991BC1" w:rsidRPr="00E54649" w:rsidRDefault="00991BC1" w:rsidP="00674A4E">
            <w:pPr>
              <w:pStyle w:val="Default"/>
              <w:spacing w:line="26" w:lineRule="atLeast"/>
              <w:jc w:val="center"/>
              <w:rPr>
                <w:rFonts w:ascii="Arial" w:hAnsi="Arial" w:cs="Arial"/>
                <w:b/>
                <w:sz w:val="20"/>
                <w:szCs w:val="20"/>
              </w:rPr>
            </w:pPr>
            <w:r>
              <w:rPr>
                <w:rFonts w:ascii="Arial" w:hAnsi="Arial" w:cs="Arial"/>
                <w:color w:val="auto"/>
                <w:sz w:val="20"/>
                <w:szCs w:val="20"/>
              </w:rPr>
              <w:t>Bosco et al. (2013)</w:t>
            </w:r>
          </w:p>
        </w:tc>
        <w:tc>
          <w:tcPr>
            <w:tcW w:w="732" w:type="pct"/>
            <w:shd w:val="clear" w:color="auto" w:fill="auto"/>
            <w:vAlign w:val="center"/>
          </w:tcPr>
          <w:p w14:paraId="78208528" w14:textId="13805A05"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Belo Horizonte (MG)</w:t>
            </w:r>
          </w:p>
        </w:tc>
        <w:tc>
          <w:tcPr>
            <w:tcW w:w="975" w:type="pct"/>
            <w:shd w:val="clear" w:color="auto" w:fill="auto"/>
            <w:vAlign w:val="center"/>
          </w:tcPr>
          <w:p w14:paraId="12A1410D" w14:textId="3E0A26DE" w:rsidR="00991BC1" w:rsidRDefault="00991BC1" w:rsidP="00674A4E">
            <w:pPr>
              <w:pStyle w:val="Default"/>
              <w:spacing w:line="26" w:lineRule="atLeast"/>
              <w:jc w:val="center"/>
              <w:rPr>
                <w:rFonts w:ascii="Arial" w:hAnsi="Arial" w:cs="Arial"/>
                <w:b/>
                <w:sz w:val="20"/>
                <w:szCs w:val="20"/>
              </w:rPr>
            </w:pPr>
            <w:r>
              <w:rPr>
                <w:rFonts w:ascii="Arial" w:hAnsi="Arial" w:cs="Arial"/>
                <w:sz w:val="20"/>
                <w:szCs w:val="20"/>
              </w:rPr>
              <w:t>Avaliar a associação entre a anemia e a capacidade física funcional em idosos hospitalizados</w:t>
            </w:r>
          </w:p>
        </w:tc>
        <w:tc>
          <w:tcPr>
            <w:tcW w:w="915" w:type="pct"/>
            <w:shd w:val="clear" w:color="auto" w:fill="auto"/>
            <w:vAlign w:val="center"/>
          </w:tcPr>
          <w:p w14:paraId="4F494A64" w14:textId="2681DD34"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Transversal</w:t>
            </w:r>
          </w:p>
        </w:tc>
        <w:tc>
          <w:tcPr>
            <w:tcW w:w="711" w:type="pct"/>
            <w:shd w:val="clear" w:color="auto" w:fill="auto"/>
            <w:vAlign w:val="center"/>
          </w:tcPr>
          <w:p w14:paraId="49B7C0C9" w14:textId="5F0FE377"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709</w:t>
            </w:r>
          </w:p>
        </w:tc>
        <w:tc>
          <w:tcPr>
            <w:tcW w:w="955" w:type="pct"/>
            <w:shd w:val="clear" w:color="auto" w:fill="auto"/>
            <w:vAlign w:val="center"/>
          </w:tcPr>
          <w:p w14:paraId="296BAC6C" w14:textId="7F962252" w:rsidR="00991BC1" w:rsidRDefault="00991BC1" w:rsidP="00674A4E">
            <w:pPr>
              <w:pStyle w:val="Default"/>
              <w:spacing w:line="26" w:lineRule="atLeast"/>
              <w:jc w:val="center"/>
              <w:rPr>
                <w:rFonts w:ascii="Arial" w:hAnsi="Arial" w:cs="Arial"/>
                <w:b/>
                <w:sz w:val="20"/>
                <w:szCs w:val="20"/>
              </w:rPr>
            </w:pPr>
            <w:r>
              <w:rPr>
                <w:rFonts w:ascii="Arial" w:hAnsi="Arial" w:cs="Arial"/>
                <w:sz w:val="20"/>
                <w:szCs w:val="20"/>
              </w:rPr>
              <w:t xml:space="preserve">Forte associação entre a redução da capacidade funcional e a presença de anemia. </w:t>
            </w:r>
          </w:p>
        </w:tc>
      </w:tr>
      <w:tr w:rsidR="00991BC1" w:rsidRPr="00E54649" w14:paraId="32DFEEB6" w14:textId="77777777" w:rsidTr="00674A4E">
        <w:trPr>
          <w:trHeight w:val="734"/>
          <w:jc w:val="center"/>
        </w:trPr>
        <w:tc>
          <w:tcPr>
            <w:tcW w:w="712" w:type="pct"/>
            <w:shd w:val="clear" w:color="auto" w:fill="auto"/>
            <w:vAlign w:val="center"/>
          </w:tcPr>
          <w:p w14:paraId="7B02A457" w14:textId="6038AB1B" w:rsidR="00991BC1" w:rsidRPr="00E54649" w:rsidRDefault="00991BC1" w:rsidP="00674A4E">
            <w:pPr>
              <w:pStyle w:val="Default"/>
              <w:spacing w:line="26" w:lineRule="atLeast"/>
              <w:jc w:val="center"/>
              <w:rPr>
                <w:rFonts w:ascii="Arial" w:hAnsi="Arial" w:cs="Arial"/>
                <w:b/>
                <w:sz w:val="20"/>
                <w:szCs w:val="20"/>
              </w:rPr>
            </w:pPr>
            <w:r>
              <w:rPr>
                <w:rFonts w:ascii="Arial" w:hAnsi="Arial" w:cs="Arial"/>
                <w:color w:val="auto"/>
                <w:sz w:val="20"/>
                <w:szCs w:val="20"/>
              </w:rPr>
              <w:lastRenderedPageBreak/>
              <w:t>Silva et al. (2013)</w:t>
            </w:r>
          </w:p>
        </w:tc>
        <w:tc>
          <w:tcPr>
            <w:tcW w:w="732" w:type="pct"/>
            <w:shd w:val="clear" w:color="auto" w:fill="auto"/>
            <w:vAlign w:val="center"/>
          </w:tcPr>
          <w:p w14:paraId="2F67A141" w14:textId="79090E16"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Bambuí (MG)</w:t>
            </w:r>
          </w:p>
        </w:tc>
        <w:tc>
          <w:tcPr>
            <w:tcW w:w="975" w:type="pct"/>
            <w:shd w:val="clear" w:color="auto" w:fill="auto"/>
            <w:vAlign w:val="center"/>
          </w:tcPr>
          <w:p w14:paraId="35A219FF" w14:textId="6B6E55AE" w:rsidR="00991BC1" w:rsidRDefault="00991BC1" w:rsidP="00674A4E">
            <w:pPr>
              <w:pStyle w:val="Default"/>
              <w:spacing w:line="26" w:lineRule="atLeast"/>
              <w:jc w:val="center"/>
              <w:rPr>
                <w:rFonts w:ascii="Arial" w:hAnsi="Arial" w:cs="Arial"/>
                <w:b/>
                <w:sz w:val="20"/>
                <w:szCs w:val="20"/>
              </w:rPr>
            </w:pPr>
            <w:r>
              <w:rPr>
                <w:rFonts w:ascii="Arial" w:hAnsi="Arial" w:cs="Arial"/>
                <w:sz w:val="20"/>
                <w:szCs w:val="20"/>
              </w:rPr>
              <w:t>Examinar a influência de baixos níveis de Hb e anemia na mortalidade entre idosos ao longo de dez anos de seguimento (1997-2007)</w:t>
            </w:r>
          </w:p>
        </w:tc>
        <w:tc>
          <w:tcPr>
            <w:tcW w:w="915" w:type="pct"/>
            <w:shd w:val="clear" w:color="auto" w:fill="auto"/>
            <w:vAlign w:val="center"/>
          </w:tcPr>
          <w:p w14:paraId="26CC2E3F" w14:textId="02D9DF70"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Coorte</w:t>
            </w:r>
          </w:p>
        </w:tc>
        <w:tc>
          <w:tcPr>
            <w:tcW w:w="711" w:type="pct"/>
            <w:shd w:val="clear" w:color="auto" w:fill="auto"/>
            <w:vAlign w:val="center"/>
          </w:tcPr>
          <w:p w14:paraId="0216DBDD" w14:textId="7B5D7C76" w:rsidR="00991BC1" w:rsidRPr="00E54649" w:rsidRDefault="00991BC1" w:rsidP="00674A4E">
            <w:pPr>
              <w:pStyle w:val="Default"/>
              <w:spacing w:line="26" w:lineRule="atLeast"/>
              <w:jc w:val="center"/>
              <w:rPr>
                <w:rFonts w:ascii="Arial" w:hAnsi="Arial" w:cs="Arial"/>
                <w:b/>
                <w:sz w:val="20"/>
                <w:szCs w:val="20"/>
              </w:rPr>
            </w:pPr>
            <w:r>
              <w:rPr>
                <w:rFonts w:ascii="Arial" w:hAnsi="Arial" w:cs="Arial"/>
                <w:sz w:val="20"/>
                <w:szCs w:val="20"/>
              </w:rPr>
              <w:t>1.322</w:t>
            </w:r>
          </w:p>
        </w:tc>
        <w:tc>
          <w:tcPr>
            <w:tcW w:w="955" w:type="pct"/>
            <w:shd w:val="clear" w:color="auto" w:fill="auto"/>
            <w:vAlign w:val="center"/>
          </w:tcPr>
          <w:p w14:paraId="41FD70DF" w14:textId="4C7CC496" w:rsidR="00991BC1" w:rsidRDefault="00991BC1" w:rsidP="00674A4E">
            <w:pPr>
              <w:pStyle w:val="Default"/>
              <w:spacing w:line="26" w:lineRule="atLeast"/>
              <w:jc w:val="center"/>
              <w:rPr>
                <w:rFonts w:ascii="Arial" w:hAnsi="Arial" w:cs="Arial"/>
                <w:b/>
                <w:sz w:val="20"/>
                <w:szCs w:val="20"/>
              </w:rPr>
            </w:pPr>
            <w:r>
              <w:rPr>
                <w:rFonts w:ascii="Arial" w:hAnsi="Arial" w:cs="Arial"/>
                <w:sz w:val="20"/>
                <w:szCs w:val="20"/>
              </w:rPr>
              <w:t>Idosos anêmicos e com baixos níveis de Hb (primeiro tercil) apresentaram maior risco de óbito se comparados aos não anêmicos e aos de maior nível de Hb</w:t>
            </w:r>
          </w:p>
        </w:tc>
      </w:tr>
    </w:tbl>
    <w:p w14:paraId="244EF5BD" w14:textId="14880775" w:rsidR="00991BC1" w:rsidRPr="004C1B26" w:rsidRDefault="00EB1F19" w:rsidP="004C1B26">
      <w:pPr>
        <w:pStyle w:val="Default"/>
        <w:spacing w:after="120" w:line="26" w:lineRule="atLeast"/>
        <w:rPr>
          <w:rFonts w:ascii="Arial" w:hAnsi="Arial" w:cs="Arial"/>
          <w:sz w:val="20"/>
          <w:szCs w:val="22"/>
        </w:rPr>
      </w:pPr>
      <w:r w:rsidRPr="009D729B">
        <w:rPr>
          <w:rFonts w:ascii="Arial" w:hAnsi="Arial" w:cs="Arial"/>
          <w:sz w:val="20"/>
          <w:szCs w:val="22"/>
        </w:rPr>
        <w:t>Fonte:</w:t>
      </w:r>
      <w:r>
        <w:rPr>
          <w:rFonts w:ascii="Arial" w:hAnsi="Arial" w:cs="Arial"/>
          <w:sz w:val="20"/>
          <w:szCs w:val="22"/>
        </w:rPr>
        <w:t xml:space="preserve"> Elaborado pelas autoras.</w:t>
      </w:r>
    </w:p>
    <w:p w14:paraId="311B10D6" w14:textId="77777777" w:rsidR="00991BC1" w:rsidRDefault="00991BC1" w:rsidP="003D3A56">
      <w:pPr>
        <w:pStyle w:val="Default"/>
        <w:spacing w:after="120" w:line="26" w:lineRule="atLeast"/>
        <w:ind w:firstLine="708"/>
        <w:jc w:val="both"/>
        <w:rPr>
          <w:rFonts w:ascii="Arial" w:hAnsi="Arial" w:cs="Arial"/>
          <w:sz w:val="22"/>
          <w:szCs w:val="22"/>
        </w:rPr>
      </w:pPr>
    </w:p>
    <w:p w14:paraId="7BD2CEDD" w14:textId="303F50E2" w:rsidR="009840D3" w:rsidRPr="00485523" w:rsidRDefault="00401046" w:rsidP="003D3A56">
      <w:pPr>
        <w:pStyle w:val="Default"/>
        <w:spacing w:after="120" w:line="26" w:lineRule="atLeast"/>
        <w:ind w:firstLine="708"/>
        <w:jc w:val="both"/>
        <w:rPr>
          <w:rFonts w:ascii="Arial" w:hAnsi="Arial" w:cs="Arial"/>
          <w:sz w:val="22"/>
          <w:szCs w:val="22"/>
        </w:rPr>
      </w:pPr>
      <w:r>
        <w:rPr>
          <w:rFonts w:ascii="Arial" w:hAnsi="Arial" w:cs="Arial"/>
          <w:sz w:val="22"/>
          <w:szCs w:val="22"/>
        </w:rPr>
        <w:t>No</w:t>
      </w:r>
      <w:r w:rsidR="00485523">
        <w:rPr>
          <w:rFonts w:ascii="Arial" w:hAnsi="Arial" w:cs="Arial"/>
          <w:sz w:val="22"/>
          <w:szCs w:val="22"/>
        </w:rPr>
        <w:t xml:space="preserve"> Quadro </w:t>
      </w:r>
      <w:r w:rsidR="00991BC1">
        <w:rPr>
          <w:rFonts w:ascii="Arial" w:hAnsi="Arial" w:cs="Arial"/>
          <w:sz w:val="22"/>
          <w:szCs w:val="22"/>
        </w:rPr>
        <w:t>4</w:t>
      </w:r>
      <w:r w:rsidR="0036545B">
        <w:rPr>
          <w:rFonts w:ascii="Arial" w:hAnsi="Arial" w:cs="Arial"/>
          <w:sz w:val="22"/>
          <w:szCs w:val="22"/>
        </w:rPr>
        <w:t>,</w:t>
      </w:r>
      <w:r w:rsidR="00485523">
        <w:rPr>
          <w:rFonts w:ascii="Arial" w:hAnsi="Arial" w:cs="Arial"/>
          <w:sz w:val="22"/>
          <w:szCs w:val="22"/>
        </w:rPr>
        <w:t xml:space="preserve"> </w:t>
      </w:r>
      <w:r>
        <w:rPr>
          <w:rFonts w:ascii="Arial" w:hAnsi="Arial" w:cs="Arial"/>
          <w:sz w:val="22"/>
          <w:szCs w:val="22"/>
        </w:rPr>
        <w:t xml:space="preserve">estão dispostos </w:t>
      </w:r>
      <w:r w:rsidR="00485523">
        <w:rPr>
          <w:rFonts w:ascii="Arial" w:hAnsi="Arial" w:cs="Arial"/>
          <w:sz w:val="22"/>
          <w:szCs w:val="22"/>
        </w:rPr>
        <w:t xml:space="preserve">outros fatores </w:t>
      </w:r>
      <w:r>
        <w:rPr>
          <w:rFonts w:ascii="Arial" w:hAnsi="Arial" w:cs="Arial"/>
          <w:sz w:val="22"/>
          <w:szCs w:val="22"/>
        </w:rPr>
        <w:t>encontrados na presente revisão de literatura as</w:t>
      </w:r>
      <w:r w:rsidR="00485523">
        <w:rPr>
          <w:rFonts w:ascii="Arial" w:hAnsi="Arial" w:cs="Arial"/>
          <w:sz w:val="22"/>
          <w:szCs w:val="22"/>
        </w:rPr>
        <w:t>sociados à anemia ferropriva</w:t>
      </w:r>
      <w:r>
        <w:rPr>
          <w:rFonts w:ascii="Arial" w:hAnsi="Arial" w:cs="Arial"/>
          <w:sz w:val="22"/>
          <w:szCs w:val="22"/>
        </w:rPr>
        <w:t>.</w:t>
      </w:r>
    </w:p>
    <w:p w14:paraId="706FACCA" w14:textId="77777777" w:rsidR="00A049BF" w:rsidRDefault="00A049BF" w:rsidP="00424573">
      <w:pPr>
        <w:spacing w:after="120" w:line="26" w:lineRule="atLeast"/>
        <w:jc w:val="both"/>
        <w:rPr>
          <w:rFonts w:ascii="Arial" w:hAnsi="Arial" w:cs="Arial"/>
          <w:b/>
          <w:sz w:val="20"/>
          <w:szCs w:val="20"/>
        </w:rPr>
      </w:pPr>
    </w:p>
    <w:p w14:paraId="6156FF80" w14:textId="465C48D1" w:rsidR="0033386B" w:rsidRDefault="00A41F50" w:rsidP="00424573">
      <w:pPr>
        <w:spacing w:after="120" w:line="26" w:lineRule="atLeast"/>
        <w:jc w:val="both"/>
        <w:rPr>
          <w:rFonts w:ascii="Arial" w:hAnsi="Arial" w:cs="Arial"/>
          <w:b/>
          <w:sz w:val="20"/>
          <w:szCs w:val="20"/>
        </w:rPr>
      </w:pPr>
      <w:r>
        <w:rPr>
          <w:rFonts w:ascii="Arial" w:hAnsi="Arial" w:cs="Arial"/>
          <w:b/>
          <w:sz w:val="20"/>
          <w:szCs w:val="20"/>
        </w:rPr>
        <w:t>Quadro</w:t>
      </w:r>
      <w:r w:rsidR="0012012F">
        <w:rPr>
          <w:rFonts w:ascii="Arial" w:hAnsi="Arial" w:cs="Arial"/>
          <w:b/>
          <w:sz w:val="20"/>
          <w:szCs w:val="20"/>
        </w:rPr>
        <w:t xml:space="preserve"> </w:t>
      </w:r>
      <w:r w:rsidR="00991BC1">
        <w:rPr>
          <w:rFonts w:ascii="Arial" w:hAnsi="Arial" w:cs="Arial"/>
          <w:b/>
          <w:sz w:val="20"/>
          <w:szCs w:val="20"/>
        </w:rPr>
        <w:t>4</w:t>
      </w:r>
      <w:r w:rsidR="008F2E54">
        <w:rPr>
          <w:rFonts w:ascii="Arial" w:hAnsi="Arial" w:cs="Arial"/>
          <w:b/>
          <w:sz w:val="20"/>
          <w:szCs w:val="20"/>
        </w:rPr>
        <w:t xml:space="preserve"> – </w:t>
      </w:r>
      <w:r w:rsidR="00F70AC0" w:rsidRPr="00F70AC0">
        <w:rPr>
          <w:rFonts w:ascii="Arial" w:hAnsi="Arial" w:cs="Arial"/>
          <w:b/>
          <w:sz w:val="20"/>
          <w:szCs w:val="20"/>
        </w:rPr>
        <w:t>Estudos levantados que identificam f</w:t>
      </w:r>
      <w:r w:rsidR="0033386B" w:rsidRPr="00F70AC0">
        <w:rPr>
          <w:rFonts w:ascii="Arial" w:hAnsi="Arial" w:cs="Arial"/>
          <w:b/>
          <w:sz w:val="20"/>
          <w:szCs w:val="20"/>
        </w:rPr>
        <w:t xml:space="preserve">atores associados </w:t>
      </w:r>
      <w:r w:rsidR="0033386B">
        <w:rPr>
          <w:rFonts w:ascii="Arial" w:hAnsi="Arial" w:cs="Arial"/>
          <w:b/>
          <w:sz w:val="20"/>
          <w:szCs w:val="20"/>
        </w:rPr>
        <w:t xml:space="preserve">à anemia ferropriva </w:t>
      </w:r>
      <w:r w:rsidR="00A3196C">
        <w:rPr>
          <w:rFonts w:ascii="Arial" w:hAnsi="Arial" w:cs="Arial"/>
          <w:b/>
          <w:sz w:val="20"/>
          <w:szCs w:val="20"/>
        </w:rPr>
        <w:t>em idosos brasileiros (2005-2016)</w:t>
      </w:r>
      <w:r w:rsidR="00A3196C" w:rsidRPr="00674A4E">
        <w:rPr>
          <w:rFonts w:ascii="Arial" w:hAnsi="Arial" w:cs="Arial"/>
          <w:b/>
          <w:sz w:val="20"/>
          <w:szCs w:val="20"/>
        </w:rPr>
        <w:t>.</w:t>
      </w:r>
    </w:p>
    <w:tbl>
      <w:tblPr>
        <w:tblStyle w:val="Tabelacomgrade"/>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70"/>
        <w:gridCol w:w="3125"/>
        <w:gridCol w:w="3125"/>
      </w:tblGrid>
      <w:tr w:rsidR="006C203B" w14:paraId="6FC47F65" w14:textId="77777777" w:rsidTr="00C87B48">
        <w:trPr>
          <w:jc w:val="center"/>
        </w:trPr>
        <w:tc>
          <w:tcPr>
            <w:tcW w:w="1416" w:type="pct"/>
            <w:vAlign w:val="center"/>
          </w:tcPr>
          <w:p w14:paraId="6194BE38" w14:textId="77777777" w:rsidR="006C203B" w:rsidRDefault="006C203B" w:rsidP="006E75DD">
            <w:pPr>
              <w:spacing w:after="120" w:line="26" w:lineRule="atLeast"/>
              <w:jc w:val="center"/>
              <w:rPr>
                <w:rFonts w:ascii="Arial" w:hAnsi="Arial" w:cs="Arial"/>
                <w:b/>
                <w:sz w:val="20"/>
                <w:szCs w:val="20"/>
              </w:rPr>
            </w:pPr>
            <w:r>
              <w:rPr>
                <w:rFonts w:ascii="Arial" w:hAnsi="Arial" w:cs="Arial"/>
                <w:b/>
                <w:sz w:val="20"/>
                <w:szCs w:val="20"/>
              </w:rPr>
              <w:t>Fontes</w:t>
            </w:r>
          </w:p>
        </w:tc>
        <w:tc>
          <w:tcPr>
            <w:tcW w:w="1792" w:type="pct"/>
            <w:vAlign w:val="center"/>
          </w:tcPr>
          <w:p w14:paraId="225259B0" w14:textId="77777777" w:rsidR="006C203B" w:rsidRDefault="006C203B" w:rsidP="006E75DD">
            <w:pPr>
              <w:spacing w:after="120" w:line="26" w:lineRule="atLeast"/>
              <w:jc w:val="center"/>
              <w:rPr>
                <w:rFonts w:ascii="Arial" w:hAnsi="Arial" w:cs="Arial"/>
                <w:b/>
                <w:sz w:val="20"/>
                <w:szCs w:val="20"/>
              </w:rPr>
            </w:pPr>
            <w:r>
              <w:rPr>
                <w:rFonts w:ascii="Arial" w:hAnsi="Arial" w:cs="Arial"/>
                <w:b/>
                <w:sz w:val="20"/>
                <w:szCs w:val="20"/>
              </w:rPr>
              <w:t>Fatores</w:t>
            </w:r>
          </w:p>
        </w:tc>
        <w:tc>
          <w:tcPr>
            <w:tcW w:w="1792" w:type="pct"/>
            <w:vAlign w:val="center"/>
          </w:tcPr>
          <w:p w14:paraId="4C478BA1" w14:textId="77777777" w:rsidR="006C203B" w:rsidRDefault="006C203B" w:rsidP="00921B42">
            <w:pPr>
              <w:spacing w:after="120" w:line="26" w:lineRule="atLeast"/>
              <w:jc w:val="center"/>
              <w:rPr>
                <w:rFonts w:ascii="Arial" w:hAnsi="Arial" w:cs="Arial"/>
                <w:b/>
                <w:sz w:val="20"/>
                <w:szCs w:val="20"/>
              </w:rPr>
            </w:pPr>
            <w:r>
              <w:rPr>
                <w:rFonts w:ascii="Arial" w:hAnsi="Arial" w:cs="Arial"/>
                <w:b/>
                <w:sz w:val="20"/>
                <w:szCs w:val="20"/>
              </w:rPr>
              <w:t>Associação</w:t>
            </w:r>
          </w:p>
        </w:tc>
      </w:tr>
      <w:tr w:rsidR="006C203B" w14:paraId="2836B70F" w14:textId="77777777" w:rsidTr="00C87B48">
        <w:trPr>
          <w:trHeight w:val="560"/>
          <w:jc w:val="center"/>
        </w:trPr>
        <w:tc>
          <w:tcPr>
            <w:tcW w:w="1416" w:type="pct"/>
            <w:vAlign w:val="center"/>
          </w:tcPr>
          <w:p w14:paraId="605832B6" w14:textId="69B4005B" w:rsidR="006C203B" w:rsidRPr="0033386B" w:rsidRDefault="00E93AD6" w:rsidP="006C203B">
            <w:pPr>
              <w:spacing w:after="120" w:line="26" w:lineRule="atLeast"/>
              <w:jc w:val="center"/>
              <w:rPr>
                <w:rFonts w:ascii="Arial" w:hAnsi="Arial" w:cs="Arial"/>
                <w:sz w:val="20"/>
                <w:szCs w:val="20"/>
              </w:rPr>
            </w:pPr>
            <w:r w:rsidRPr="0033386B">
              <w:rPr>
                <w:rFonts w:ascii="Arial" w:hAnsi="Arial" w:cs="Arial"/>
                <w:sz w:val="20"/>
                <w:szCs w:val="20"/>
              </w:rPr>
              <w:t>Schaan</w:t>
            </w:r>
            <w:r w:rsidR="00252829">
              <w:rPr>
                <w:rFonts w:ascii="Arial" w:hAnsi="Arial" w:cs="Arial"/>
                <w:sz w:val="20"/>
                <w:szCs w:val="20"/>
              </w:rPr>
              <w:t xml:space="preserve"> </w:t>
            </w:r>
            <w:r w:rsidR="006C203B" w:rsidRPr="0033386B">
              <w:rPr>
                <w:rFonts w:ascii="Arial" w:hAnsi="Arial" w:cs="Arial"/>
                <w:sz w:val="20"/>
                <w:szCs w:val="20"/>
              </w:rPr>
              <w:t>et a</w:t>
            </w:r>
            <w:r w:rsidR="006C203B">
              <w:rPr>
                <w:rFonts w:ascii="Arial" w:hAnsi="Arial" w:cs="Arial"/>
                <w:sz w:val="20"/>
                <w:szCs w:val="20"/>
              </w:rPr>
              <w:t>l. (2007)</w:t>
            </w:r>
          </w:p>
        </w:tc>
        <w:tc>
          <w:tcPr>
            <w:tcW w:w="1792" w:type="pct"/>
            <w:vAlign w:val="center"/>
          </w:tcPr>
          <w:p w14:paraId="329E550C"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 xml:space="preserve">Ingestão </w:t>
            </w:r>
            <w:r w:rsidRPr="0057475C">
              <w:rPr>
                <w:rFonts w:ascii="Arial" w:hAnsi="Arial" w:cs="Arial"/>
                <w:sz w:val="20"/>
                <w:szCs w:val="20"/>
              </w:rPr>
              <w:t>de cobalamina</w:t>
            </w:r>
          </w:p>
        </w:tc>
        <w:tc>
          <w:tcPr>
            <w:tcW w:w="1792" w:type="pct"/>
            <w:vAlign w:val="center"/>
          </w:tcPr>
          <w:p w14:paraId="7F317A88" w14:textId="77777777" w:rsidR="006C203B" w:rsidRPr="0033386B" w:rsidRDefault="006C203B" w:rsidP="006C203B">
            <w:pPr>
              <w:spacing w:after="120" w:line="26" w:lineRule="atLeast"/>
              <w:jc w:val="center"/>
              <w:rPr>
                <w:rFonts w:ascii="Arial" w:hAnsi="Arial" w:cs="Arial"/>
                <w:sz w:val="20"/>
                <w:szCs w:val="20"/>
              </w:rPr>
            </w:pPr>
            <w:r>
              <w:rPr>
                <w:rFonts w:ascii="Arial" w:hAnsi="Arial" w:cs="Arial"/>
                <w:sz w:val="20"/>
                <w:szCs w:val="20"/>
              </w:rPr>
              <w:t>Baixa ingestão em comparação aos não anêmicos</w:t>
            </w:r>
          </w:p>
        </w:tc>
      </w:tr>
      <w:tr w:rsidR="006C203B" w14:paraId="0CF3B83D" w14:textId="77777777" w:rsidTr="00C87B48">
        <w:trPr>
          <w:trHeight w:val="698"/>
          <w:jc w:val="center"/>
        </w:trPr>
        <w:tc>
          <w:tcPr>
            <w:tcW w:w="1416" w:type="pct"/>
            <w:vAlign w:val="center"/>
          </w:tcPr>
          <w:p w14:paraId="56197378" w14:textId="55CD5D7D" w:rsidR="006C203B" w:rsidRPr="0033386B" w:rsidRDefault="00E93AD6" w:rsidP="006C203B">
            <w:pPr>
              <w:spacing w:after="120" w:line="26" w:lineRule="atLeast"/>
              <w:jc w:val="center"/>
              <w:rPr>
                <w:rFonts w:ascii="Arial" w:hAnsi="Arial" w:cs="Arial"/>
                <w:sz w:val="20"/>
                <w:szCs w:val="20"/>
              </w:rPr>
            </w:pPr>
            <w:r w:rsidRPr="0033386B">
              <w:rPr>
                <w:rFonts w:ascii="Arial" w:hAnsi="Arial" w:cs="Arial"/>
                <w:sz w:val="20"/>
                <w:szCs w:val="20"/>
              </w:rPr>
              <w:t>Schaan</w:t>
            </w:r>
            <w:r w:rsidR="00252829">
              <w:rPr>
                <w:rFonts w:ascii="Arial" w:hAnsi="Arial" w:cs="Arial"/>
                <w:sz w:val="20"/>
                <w:szCs w:val="20"/>
              </w:rPr>
              <w:t xml:space="preserve"> </w:t>
            </w:r>
            <w:r w:rsidR="006C203B" w:rsidRPr="0033386B">
              <w:rPr>
                <w:rFonts w:ascii="Arial" w:hAnsi="Arial" w:cs="Arial"/>
                <w:sz w:val="20"/>
                <w:szCs w:val="20"/>
              </w:rPr>
              <w:t>et a</w:t>
            </w:r>
            <w:r w:rsidR="006C203B">
              <w:rPr>
                <w:rFonts w:ascii="Arial" w:hAnsi="Arial" w:cs="Arial"/>
                <w:sz w:val="20"/>
                <w:szCs w:val="20"/>
              </w:rPr>
              <w:t xml:space="preserve">l. (2007); </w:t>
            </w:r>
            <w:r>
              <w:rPr>
                <w:rFonts w:ascii="Arial" w:hAnsi="Arial" w:cs="Arial"/>
                <w:sz w:val="20"/>
                <w:szCs w:val="20"/>
              </w:rPr>
              <w:t xml:space="preserve">Silva </w:t>
            </w:r>
            <w:r w:rsidR="006C203B">
              <w:rPr>
                <w:rFonts w:ascii="Arial" w:hAnsi="Arial" w:cs="Arial"/>
                <w:sz w:val="20"/>
                <w:szCs w:val="20"/>
              </w:rPr>
              <w:t>(2008)</w:t>
            </w:r>
          </w:p>
        </w:tc>
        <w:tc>
          <w:tcPr>
            <w:tcW w:w="1792" w:type="pct"/>
            <w:vAlign w:val="center"/>
          </w:tcPr>
          <w:p w14:paraId="296FA533"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Ingestão de ferro</w:t>
            </w:r>
          </w:p>
        </w:tc>
        <w:tc>
          <w:tcPr>
            <w:tcW w:w="1792" w:type="pct"/>
            <w:vAlign w:val="center"/>
          </w:tcPr>
          <w:p w14:paraId="3B2170DE" w14:textId="77777777" w:rsidR="006C203B" w:rsidRPr="0033386B" w:rsidRDefault="006C203B" w:rsidP="006C203B">
            <w:pPr>
              <w:spacing w:after="120" w:line="26" w:lineRule="atLeast"/>
              <w:jc w:val="center"/>
              <w:rPr>
                <w:rFonts w:ascii="Arial" w:hAnsi="Arial" w:cs="Arial"/>
                <w:sz w:val="20"/>
                <w:szCs w:val="20"/>
              </w:rPr>
            </w:pPr>
            <w:r>
              <w:rPr>
                <w:rFonts w:ascii="Arial" w:hAnsi="Arial" w:cs="Arial"/>
                <w:sz w:val="20"/>
                <w:szCs w:val="20"/>
              </w:rPr>
              <w:t>Baixa ingestão em comparação aos não anêmicos</w:t>
            </w:r>
          </w:p>
        </w:tc>
      </w:tr>
      <w:tr w:rsidR="006C203B" w14:paraId="60FA5128" w14:textId="77777777" w:rsidTr="00C87B48">
        <w:trPr>
          <w:trHeight w:val="785"/>
          <w:jc w:val="center"/>
        </w:trPr>
        <w:tc>
          <w:tcPr>
            <w:tcW w:w="1416" w:type="pct"/>
            <w:vAlign w:val="center"/>
          </w:tcPr>
          <w:p w14:paraId="7CEFA97D" w14:textId="42FE29CE" w:rsidR="006C203B" w:rsidRPr="0033386B" w:rsidRDefault="00E93AD6" w:rsidP="006C203B">
            <w:pPr>
              <w:spacing w:after="120" w:line="26" w:lineRule="atLeast"/>
              <w:jc w:val="center"/>
              <w:rPr>
                <w:rFonts w:ascii="Arial" w:hAnsi="Arial" w:cs="Arial"/>
                <w:sz w:val="20"/>
                <w:szCs w:val="20"/>
              </w:rPr>
            </w:pPr>
            <w:r w:rsidRPr="00990B05">
              <w:rPr>
                <w:rFonts w:ascii="Arial" w:hAnsi="Arial" w:cs="Arial"/>
                <w:sz w:val="20"/>
                <w:szCs w:val="20"/>
              </w:rPr>
              <w:t>Castelaci</w:t>
            </w:r>
            <w:r w:rsidR="00252829">
              <w:rPr>
                <w:rFonts w:ascii="Arial" w:hAnsi="Arial" w:cs="Arial"/>
                <w:sz w:val="20"/>
                <w:szCs w:val="20"/>
              </w:rPr>
              <w:t xml:space="preserve"> </w:t>
            </w:r>
            <w:r w:rsidR="006C203B" w:rsidRPr="00990B05">
              <w:rPr>
                <w:rFonts w:ascii="Arial" w:hAnsi="Arial" w:cs="Arial"/>
                <w:sz w:val="20"/>
                <w:szCs w:val="20"/>
              </w:rPr>
              <w:t>et al. (2016)</w:t>
            </w:r>
          </w:p>
        </w:tc>
        <w:tc>
          <w:tcPr>
            <w:tcW w:w="1792" w:type="pct"/>
            <w:vAlign w:val="center"/>
          </w:tcPr>
          <w:p w14:paraId="11461C7F"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Consumo de alimentos gordurosos</w:t>
            </w:r>
          </w:p>
        </w:tc>
        <w:tc>
          <w:tcPr>
            <w:tcW w:w="1792" w:type="pct"/>
            <w:vAlign w:val="center"/>
          </w:tcPr>
          <w:p w14:paraId="49BFDFD2" w14:textId="77777777" w:rsidR="006C203B" w:rsidRPr="00DF7ED1" w:rsidRDefault="006C203B" w:rsidP="006C203B">
            <w:pPr>
              <w:spacing w:after="120" w:line="26" w:lineRule="atLeast"/>
              <w:jc w:val="center"/>
              <w:rPr>
                <w:rFonts w:ascii="Arial" w:hAnsi="Arial" w:cs="Arial"/>
                <w:sz w:val="20"/>
                <w:szCs w:val="20"/>
              </w:rPr>
            </w:pPr>
            <w:r>
              <w:rPr>
                <w:rFonts w:ascii="Arial" w:hAnsi="Arial" w:cs="Arial"/>
                <w:sz w:val="20"/>
                <w:szCs w:val="20"/>
              </w:rPr>
              <w:t>A</w:t>
            </w:r>
            <w:r w:rsidRPr="00DF7ED1">
              <w:rPr>
                <w:rFonts w:ascii="Arial" w:hAnsi="Arial" w:cs="Arial"/>
                <w:sz w:val="20"/>
                <w:szCs w:val="20"/>
              </w:rPr>
              <w:t>ssociação com alta ingestão de alimentos gordurosos</w:t>
            </w:r>
          </w:p>
        </w:tc>
      </w:tr>
      <w:tr w:rsidR="006C203B" w14:paraId="72477F14" w14:textId="77777777" w:rsidTr="00C87B48">
        <w:trPr>
          <w:trHeight w:val="573"/>
          <w:jc w:val="center"/>
        </w:trPr>
        <w:tc>
          <w:tcPr>
            <w:tcW w:w="1416" w:type="pct"/>
            <w:vAlign w:val="center"/>
          </w:tcPr>
          <w:p w14:paraId="7E084B83" w14:textId="0554BF74" w:rsidR="006C203B" w:rsidRPr="0033386B" w:rsidRDefault="00E93AD6" w:rsidP="00EB7FE4">
            <w:pPr>
              <w:spacing w:after="120" w:line="26" w:lineRule="atLeast"/>
              <w:jc w:val="center"/>
              <w:rPr>
                <w:rFonts w:ascii="Arial" w:hAnsi="Arial" w:cs="Arial"/>
                <w:sz w:val="20"/>
                <w:szCs w:val="20"/>
              </w:rPr>
            </w:pPr>
            <w:r w:rsidRPr="004C1B26">
              <w:rPr>
                <w:rFonts w:ascii="Arial" w:hAnsi="Arial" w:cs="Arial"/>
                <w:sz w:val="20"/>
                <w:szCs w:val="20"/>
                <w:lang w:val="es-419"/>
              </w:rPr>
              <w:t>Castelaci</w:t>
            </w:r>
            <w:r w:rsidR="00252829" w:rsidRPr="004C1B26">
              <w:rPr>
                <w:rFonts w:ascii="Arial" w:hAnsi="Arial" w:cs="Arial"/>
                <w:sz w:val="20"/>
                <w:szCs w:val="20"/>
                <w:lang w:val="es-419"/>
              </w:rPr>
              <w:t xml:space="preserve"> </w:t>
            </w:r>
            <w:r w:rsidR="00EB7FE4" w:rsidRPr="004C1B26">
              <w:rPr>
                <w:rFonts w:ascii="Arial" w:hAnsi="Arial" w:cs="Arial"/>
                <w:sz w:val="20"/>
                <w:szCs w:val="20"/>
                <w:lang w:val="es-419"/>
              </w:rPr>
              <w:t xml:space="preserve">et al. (2016); </w:t>
            </w:r>
            <w:r w:rsidRPr="004C1B26">
              <w:rPr>
                <w:rFonts w:ascii="Arial" w:hAnsi="Arial" w:cs="Arial"/>
                <w:sz w:val="20"/>
                <w:szCs w:val="20"/>
                <w:lang w:val="es-419"/>
              </w:rPr>
              <w:t>Colares</w:t>
            </w:r>
            <w:r w:rsidR="00EB7FE4" w:rsidRPr="004C1B26">
              <w:rPr>
                <w:rFonts w:ascii="Arial" w:hAnsi="Arial" w:cs="Arial"/>
                <w:sz w:val="20"/>
                <w:szCs w:val="20"/>
                <w:lang w:val="es-419"/>
              </w:rPr>
              <w:t>-</w:t>
            </w:r>
            <w:r w:rsidRPr="004C1B26">
              <w:rPr>
                <w:rFonts w:ascii="Arial" w:hAnsi="Arial" w:cs="Arial"/>
                <w:sz w:val="20"/>
                <w:szCs w:val="20"/>
                <w:lang w:val="es-419"/>
              </w:rPr>
              <w:t xml:space="preserve">Bento </w:t>
            </w:r>
            <w:r w:rsidR="00EB7FE4" w:rsidRPr="004C1B26">
              <w:rPr>
                <w:rFonts w:ascii="Arial" w:hAnsi="Arial" w:cs="Arial"/>
                <w:sz w:val="20"/>
                <w:szCs w:val="20"/>
                <w:lang w:val="es-419"/>
              </w:rPr>
              <w:t xml:space="preserve">et al. </w:t>
            </w:r>
            <w:r w:rsidR="00EB7FE4">
              <w:rPr>
                <w:rFonts w:ascii="Arial" w:hAnsi="Arial" w:cs="Arial"/>
                <w:sz w:val="20"/>
                <w:szCs w:val="20"/>
              </w:rPr>
              <w:t xml:space="preserve">(2009); </w:t>
            </w:r>
            <w:r>
              <w:rPr>
                <w:rFonts w:ascii="Arial" w:hAnsi="Arial" w:cs="Arial"/>
                <w:sz w:val="20"/>
                <w:szCs w:val="20"/>
              </w:rPr>
              <w:t xml:space="preserve">Silva </w:t>
            </w:r>
            <w:r w:rsidR="006C203B">
              <w:rPr>
                <w:rFonts w:ascii="Arial" w:hAnsi="Arial" w:cs="Arial"/>
                <w:sz w:val="20"/>
                <w:szCs w:val="20"/>
              </w:rPr>
              <w:t>(2008)</w:t>
            </w:r>
          </w:p>
        </w:tc>
        <w:tc>
          <w:tcPr>
            <w:tcW w:w="1792" w:type="pct"/>
            <w:vAlign w:val="center"/>
          </w:tcPr>
          <w:p w14:paraId="1F45D495"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Condições socioeconômicas</w:t>
            </w:r>
          </w:p>
        </w:tc>
        <w:tc>
          <w:tcPr>
            <w:tcW w:w="1792" w:type="pct"/>
            <w:vAlign w:val="center"/>
          </w:tcPr>
          <w:p w14:paraId="54F9127F" w14:textId="77777777" w:rsidR="00EB7FE4" w:rsidRDefault="006C203B" w:rsidP="00EB7FE4">
            <w:pPr>
              <w:spacing w:after="120" w:line="26" w:lineRule="atLeast"/>
              <w:jc w:val="center"/>
              <w:rPr>
                <w:rFonts w:ascii="Arial" w:hAnsi="Arial" w:cs="Arial"/>
                <w:sz w:val="20"/>
                <w:szCs w:val="20"/>
              </w:rPr>
            </w:pPr>
            <w:r>
              <w:rPr>
                <w:rFonts w:ascii="Arial" w:hAnsi="Arial" w:cs="Arial"/>
                <w:sz w:val="20"/>
                <w:szCs w:val="20"/>
              </w:rPr>
              <w:t>Maior associação em indivíduos com baixa renda</w:t>
            </w:r>
          </w:p>
        </w:tc>
      </w:tr>
      <w:tr w:rsidR="006C203B" w14:paraId="1DD1FCC9" w14:textId="77777777" w:rsidTr="00C87B48">
        <w:trPr>
          <w:trHeight w:val="425"/>
          <w:jc w:val="center"/>
        </w:trPr>
        <w:tc>
          <w:tcPr>
            <w:tcW w:w="1416" w:type="pct"/>
            <w:vAlign w:val="center"/>
          </w:tcPr>
          <w:p w14:paraId="3BE32684" w14:textId="77777777" w:rsidR="006C203B" w:rsidRPr="0033386B" w:rsidRDefault="00E93AD6" w:rsidP="006C203B">
            <w:pPr>
              <w:spacing w:after="120" w:line="26" w:lineRule="atLeast"/>
              <w:jc w:val="center"/>
              <w:rPr>
                <w:rFonts w:ascii="Arial" w:hAnsi="Arial" w:cs="Arial"/>
                <w:sz w:val="20"/>
                <w:szCs w:val="20"/>
              </w:rPr>
            </w:pPr>
            <w:r w:rsidRPr="00990B05">
              <w:rPr>
                <w:rFonts w:ascii="Arial" w:eastAsia="Arial" w:hAnsi="Arial" w:cs="Arial"/>
                <w:sz w:val="20"/>
                <w:szCs w:val="20"/>
              </w:rPr>
              <w:t xml:space="preserve">Santos </w:t>
            </w:r>
            <w:r w:rsidR="006C203B" w:rsidRPr="00990B05">
              <w:rPr>
                <w:rFonts w:ascii="Arial" w:eastAsia="Arial" w:hAnsi="Arial" w:cs="Arial"/>
                <w:sz w:val="20"/>
                <w:szCs w:val="20"/>
              </w:rPr>
              <w:t>(2009)</w:t>
            </w:r>
          </w:p>
        </w:tc>
        <w:tc>
          <w:tcPr>
            <w:tcW w:w="1792" w:type="pct"/>
            <w:vAlign w:val="center"/>
          </w:tcPr>
          <w:p w14:paraId="1449605C"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Demência</w:t>
            </w:r>
          </w:p>
        </w:tc>
        <w:tc>
          <w:tcPr>
            <w:tcW w:w="1792" w:type="pct"/>
            <w:vAlign w:val="center"/>
          </w:tcPr>
          <w:p w14:paraId="5E026B0F" w14:textId="77777777" w:rsidR="006C203B" w:rsidRPr="0033386B" w:rsidRDefault="006C203B" w:rsidP="006C203B">
            <w:pPr>
              <w:spacing w:after="120" w:line="26" w:lineRule="atLeast"/>
              <w:jc w:val="center"/>
              <w:rPr>
                <w:rFonts w:ascii="Arial" w:hAnsi="Arial" w:cs="Arial"/>
                <w:sz w:val="20"/>
                <w:szCs w:val="20"/>
              </w:rPr>
            </w:pPr>
            <w:r>
              <w:rPr>
                <w:rFonts w:ascii="Arial" w:hAnsi="Arial" w:cs="Arial"/>
                <w:sz w:val="20"/>
                <w:szCs w:val="20"/>
              </w:rPr>
              <w:t>Não foi encontrada associação</w:t>
            </w:r>
          </w:p>
        </w:tc>
      </w:tr>
      <w:tr w:rsidR="006C203B" w14:paraId="1F984341" w14:textId="77777777" w:rsidTr="00C87B48">
        <w:trPr>
          <w:trHeight w:val="540"/>
          <w:jc w:val="center"/>
        </w:trPr>
        <w:tc>
          <w:tcPr>
            <w:tcW w:w="1416" w:type="pct"/>
            <w:vAlign w:val="center"/>
          </w:tcPr>
          <w:p w14:paraId="1BDB78CC" w14:textId="77777777" w:rsidR="006C203B" w:rsidRPr="0033386B" w:rsidRDefault="00E93AD6" w:rsidP="006C203B">
            <w:pPr>
              <w:spacing w:after="120" w:line="26" w:lineRule="atLeast"/>
              <w:jc w:val="center"/>
              <w:rPr>
                <w:rFonts w:ascii="Arial" w:hAnsi="Arial" w:cs="Arial"/>
                <w:sz w:val="20"/>
                <w:szCs w:val="20"/>
              </w:rPr>
            </w:pPr>
            <w:r w:rsidRPr="00990B05">
              <w:rPr>
                <w:rFonts w:ascii="Arial" w:eastAsia="Arial" w:hAnsi="Arial" w:cs="Arial"/>
                <w:sz w:val="20"/>
                <w:szCs w:val="20"/>
              </w:rPr>
              <w:t xml:space="preserve">Santos </w:t>
            </w:r>
            <w:r w:rsidR="006C203B" w:rsidRPr="00990B05">
              <w:rPr>
                <w:rFonts w:ascii="Arial" w:eastAsia="Arial" w:hAnsi="Arial" w:cs="Arial"/>
                <w:sz w:val="20"/>
                <w:szCs w:val="20"/>
              </w:rPr>
              <w:t>(2009)</w:t>
            </w:r>
          </w:p>
        </w:tc>
        <w:tc>
          <w:tcPr>
            <w:tcW w:w="1792" w:type="pct"/>
            <w:vAlign w:val="center"/>
          </w:tcPr>
          <w:p w14:paraId="4DB5F26A"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Insuficiência renal crônica</w:t>
            </w:r>
          </w:p>
        </w:tc>
        <w:tc>
          <w:tcPr>
            <w:tcW w:w="1792" w:type="pct"/>
            <w:vAlign w:val="center"/>
          </w:tcPr>
          <w:p w14:paraId="5821B136" w14:textId="77777777" w:rsidR="006C203B" w:rsidRPr="0033386B" w:rsidRDefault="006C203B" w:rsidP="006C203B">
            <w:pPr>
              <w:spacing w:after="120" w:line="26" w:lineRule="atLeast"/>
              <w:jc w:val="center"/>
              <w:rPr>
                <w:rFonts w:ascii="Arial" w:hAnsi="Arial" w:cs="Arial"/>
                <w:sz w:val="20"/>
                <w:szCs w:val="20"/>
              </w:rPr>
            </w:pPr>
            <w:r>
              <w:rPr>
                <w:rFonts w:ascii="Arial" w:hAnsi="Arial" w:cs="Arial"/>
                <w:sz w:val="20"/>
                <w:szCs w:val="20"/>
              </w:rPr>
              <w:t>Contribuiu para a evolução da anemia</w:t>
            </w:r>
          </w:p>
        </w:tc>
      </w:tr>
      <w:tr w:rsidR="006C203B" w14:paraId="561636D5" w14:textId="77777777" w:rsidTr="00C87B48">
        <w:trPr>
          <w:trHeight w:val="676"/>
          <w:jc w:val="center"/>
        </w:trPr>
        <w:tc>
          <w:tcPr>
            <w:tcW w:w="1416" w:type="pct"/>
            <w:vAlign w:val="center"/>
          </w:tcPr>
          <w:p w14:paraId="2F58D7E6" w14:textId="77777777" w:rsidR="006C203B" w:rsidRPr="0033386B" w:rsidRDefault="00E93AD6" w:rsidP="006C203B">
            <w:pPr>
              <w:spacing w:after="120" w:line="26" w:lineRule="atLeast"/>
              <w:jc w:val="center"/>
              <w:rPr>
                <w:rFonts w:ascii="Arial" w:hAnsi="Arial" w:cs="Arial"/>
                <w:sz w:val="20"/>
                <w:szCs w:val="20"/>
              </w:rPr>
            </w:pPr>
            <w:r w:rsidRPr="00990B05">
              <w:rPr>
                <w:rFonts w:ascii="Arial" w:eastAsia="Arial" w:hAnsi="Arial" w:cs="Arial"/>
                <w:sz w:val="20"/>
                <w:szCs w:val="20"/>
              </w:rPr>
              <w:t xml:space="preserve">Santos </w:t>
            </w:r>
            <w:r w:rsidR="006C203B" w:rsidRPr="00990B05">
              <w:rPr>
                <w:rFonts w:ascii="Arial" w:eastAsia="Arial" w:hAnsi="Arial" w:cs="Arial"/>
                <w:sz w:val="20"/>
                <w:szCs w:val="20"/>
              </w:rPr>
              <w:t>(2009)</w:t>
            </w:r>
          </w:p>
        </w:tc>
        <w:tc>
          <w:tcPr>
            <w:tcW w:w="1792" w:type="pct"/>
            <w:vAlign w:val="center"/>
          </w:tcPr>
          <w:p w14:paraId="7E5F70BC" w14:textId="77777777" w:rsidR="006C203B" w:rsidRPr="0057475C" w:rsidRDefault="006C203B" w:rsidP="006C203B">
            <w:pPr>
              <w:spacing w:after="120" w:line="26" w:lineRule="atLeast"/>
              <w:jc w:val="center"/>
              <w:rPr>
                <w:rFonts w:ascii="Arial" w:hAnsi="Arial" w:cs="Arial"/>
                <w:sz w:val="20"/>
                <w:szCs w:val="20"/>
              </w:rPr>
            </w:pPr>
            <w:r>
              <w:rPr>
                <w:rFonts w:ascii="Arial" w:hAnsi="Arial" w:cs="Arial"/>
                <w:sz w:val="20"/>
                <w:szCs w:val="20"/>
              </w:rPr>
              <w:t>Inflamação crônica</w:t>
            </w:r>
          </w:p>
        </w:tc>
        <w:tc>
          <w:tcPr>
            <w:tcW w:w="1792" w:type="pct"/>
            <w:vAlign w:val="center"/>
          </w:tcPr>
          <w:p w14:paraId="2E74E8DD" w14:textId="77777777" w:rsidR="006C203B" w:rsidRPr="0033386B" w:rsidRDefault="006C203B" w:rsidP="006C203B">
            <w:pPr>
              <w:spacing w:after="120" w:line="26" w:lineRule="atLeast"/>
              <w:jc w:val="center"/>
              <w:rPr>
                <w:rFonts w:ascii="Arial" w:hAnsi="Arial" w:cs="Arial"/>
                <w:sz w:val="20"/>
                <w:szCs w:val="20"/>
              </w:rPr>
            </w:pPr>
            <w:r>
              <w:rPr>
                <w:rFonts w:ascii="Arial" w:hAnsi="Arial" w:cs="Arial"/>
                <w:sz w:val="20"/>
                <w:szCs w:val="20"/>
              </w:rPr>
              <w:t>Contribuiu para a evolução da anemia</w:t>
            </w:r>
          </w:p>
        </w:tc>
      </w:tr>
      <w:tr w:rsidR="006C203B" w14:paraId="3A633711" w14:textId="77777777" w:rsidTr="00C87B48">
        <w:trPr>
          <w:trHeight w:val="842"/>
          <w:jc w:val="center"/>
        </w:trPr>
        <w:tc>
          <w:tcPr>
            <w:tcW w:w="1416" w:type="pct"/>
            <w:vAlign w:val="center"/>
          </w:tcPr>
          <w:p w14:paraId="2D426D56" w14:textId="5D48E3FD" w:rsidR="006C203B" w:rsidRPr="0033386B" w:rsidRDefault="00E93AD6" w:rsidP="004D1A5E">
            <w:pPr>
              <w:spacing w:after="120" w:line="26" w:lineRule="atLeast"/>
              <w:jc w:val="center"/>
              <w:rPr>
                <w:rFonts w:ascii="Arial" w:hAnsi="Arial" w:cs="Arial"/>
                <w:sz w:val="20"/>
                <w:szCs w:val="20"/>
              </w:rPr>
            </w:pPr>
            <w:r w:rsidRPr="004D1A5E">
              <w:rPr>
                <w:rFonts w:ascii="Arial" w:hAnsi="Arial" w:cs="Arial"/>
                <w:sz w:val="20"/>
                <w:szCs w:val="20"/>
              </w:rPr>
              <w:t>Castelaci</w:t>
            </w:r>
            <w:r w:rsidR="00252829">
              <w:rPr>
                <w:rFonts w:ascii="Arial" w:hAnsi="Arial" w:cs="Arial"/>
                <w:sz w:val="20"/>
                <w:szCs w:val="20"/>
              </w:rPr>
              <w:t xml:space="preserve"> </w:t>
            </w:r>
            <w:r w:rsidR="004D1A5E">
              <w:rPr>
                <w:rFonts w:ascii="Arial" w:hAnsi="Arial" w:cs="Arial"/>
                <w:sz w:val="20"/>
                <w:szCs w:val="20"/>
              </w:rPr>
              <w:t xml:space="preserve">et al. (2016); </w:t>
            </w:r>
            <w:r w:rsidRPr="00990B05">
              <w:rPr>
                <w:rFonts w:ascii="Arial" w:hAnsi="Arial" w:cs="Arial"/>
                <w:sz w:val="20"/>
                <w:szCs w:val="20"/>
              </w:rPr>
              <w:t>Costa</w:t>
            </w:r>
            <w:r w:rsidR="0082567F">
              <w:rPr>
                <w:rFonts w:ascii="Arial" w:hAnsi="Arial" w:cs="Arial"/>
                <w:sz w:val="20"/>
                <w:szCs w:val="20"/>
              </w:rPr>
              <w:t>;</w:t>
            </w:r>
            <w:r w:rsidR="00252829">
              <w:rPr>
                <w:rFonts w:ascii="Arial" w:hAnsi="Arial" w:cs="Arial"/>
                <w:sz w:val="20"/>
                <w:szCs w:val="20"/>
              </w:rPr>
              <w:t xml:space="preserve"> </w:t>
            </w:r>
            <w:r w:rsidRPr="00990B05">
              <w:rPr>
                <w:rFonts w:ascii="Arial" w:hAnsi="Arial" w:cs="Arial"/>
                <w:sz w:val="20"/>
                <w:szCs w:val="20"/>
              </w:rPr>
              <w:t>Soares</w:t>
            </w:r>
            <w:r w:rsidR="0082567F">
              <w:rPr>
                <w:rFonts w:ascii="Arial" w:hAnsi="Arial" w:cs="Arial"/>
                <w:sz w:val="20"/>
                <w:szCs w:val="20"/>
              </w:rPr>
              <w:t xml:space="preserve">; </w:t>
            </w:r>
            <w:r w:rsidRPr="00990B05">
              <w:rPr>
                <w:rFonts w:ascii="Arial" w:hAnsi="Arial" w:cs="Arial"/>
                <w:sz w:val="20"/>
                <w:szCs w:val="20"/>
              </w:rPr>
              <w:t xml:space="preserve">Oliveira </w:t>
            </w:r>
            <w:r w:rsidR="006C203B" w:rsidRPr="00990B05">
              <w:rPr>
                <w:rFonts w:ascii="Arial" w:hAnsi="Arial" w:cs="Arial"/>
                <w:sz w:val="20"/>
                <w:szCs w:val="20"/>
              </w:rPr>
              <w:t>(2016)</w:t>
            </w:r>
            <w:r w:rsidR="004D1A5E">
              <w:rPr>
                <w:rFonts w:ascii="Arial" w:hAnsi="Arial" w:cs="Arial"/>
                <w:sz w:val="20"/>
                <w:szCs w:val="20"/>
              </w:rPr>
              <w:t xml:space="preserve">; </w:t>
            </w:r>
            <w:r w:rsidRPr="00990B05">
              <w:rPr>
                <w:rFonts w:ascii="Arial" w:hAnsi="Arial" w:cs="Arial"/>
                <w:sz w:val="20"/>
                <w:szCs w:val="20"/>
              </w:rPr>
              <w:t xml:space="preserve">Macêdo </w:t>
            </w:r>
            <w:r w:rsidR="004D1A5E" w:rsidRPr="00990B05">
              <w:rPr>
                <w:rFonts w:ascii="Arial" w:hAnsi="Arial" w:cs="Arial"/>
                <w:sz w:val="20"/>
                <w:szCs w:val="20"/>
              </w:rPr>
              <w:t>et al. (2011)</w:t>
            </w:r>
            <w:r w:rsidR="004D1A5E">
              <w:rPr>
                <w:rFonts w:ascii="Arial" w:hAnsi="Arial" w:cs="Arial"/>
                <w:sz w:val="20"/>
                <w:szCs w:val="20"/>
              </w:rPr>
              <w:t xml:space="preserve">; </w:t>
            </w:r>
            <w:r w:rsidRPr="004D1A5E">
              <w:rPr>
                <w:rFonts w:ascii="Arial" w:hAnsi="Arial" w:cs="Arial"/>
                <w:sz w:val="20"/>
                <w:szCs w:val="20"/>
              </w:rPr>
              <w:t xml:space="preserve">Silva </w:t>
            </w:r>
            <w:r w:rsidR="004D1A5E" w:rsidRPr="004D1A5E">
              <w:rPr>
                <w:rFonts w:ascii="Arial" w:hAnsi="Arial" w:cs="Arial"/>
                <w:sz w:val="20"/>
                <w:szCs w:val="20"/>
              </w:rPr>
              <w:t xml:space="preserve">et al. </w:t>
            </w:r>
            <w:r w:rsidR="004D1A5E">
              <w:rPr>
                <w:rFonts w:ascii="Arial" w:hAnsi="Arial" w:cs="Arial"/>
                <w:sz w:val="20"/>
                <w:szCs w:val="20"/>
              </w:rPr>
              <w:t>(2013)</w:t>
            </w:r>
          </w:p>
        </w:tc>
        <w:tc>
          <w:tcPr>
            <w:tcW w:w="1792" w:type="pct"/>
            <w:vAlign w:val="center"/>
          </w:tcPr>
          <w:p w14:paraId="68693B8E"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Estado nutricional</w:t>
            </w:r>
          </w:p>
        </w:tc>
        <w:tc>
          <w:tcPr>
            <w:tcW w:w="1792" w:type="pct"/>
            <w:vAlign w:val="center"/>
          </w:tcPr>
          <w:p w14:paraId="281EA315"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Foi encontrada associação entre baixo peso ou desnutrição à anemia</w:t>
            </w:r>
          </w:p>
        </w:tc>
      </w:tr>
      <w:tr w:rsidR="006C203B" w14:paraId="3644C99F" w14:textId="77777777" w:rsidTr="00C87B48">
        <w:trPr>
          <w:trHeight w:val="1151"/>
          <w:jc w:val="center"/>
        </w:trPr>
        <w:tc>
          <w:tcPr>
            <w:tcW w:w="1416" w:type="pct"/>
            <w:vAlign w:val="center"/>
          </w:tcPr>
          <w:p w14:paraId="0B446A3C" w14:textId="0E11B6DC" w:rsidR="006C203B" w:rsidRPr="0033386B" w:rsidRDefault="00E93AD6" w:rsidP="006A457B">
            <w:pPr>
              <w:spacing w:after="120" w:line="26" w:lineRule="atLeast"/>
              <w:jc w:val="center"/>
              <w:rPr>
                <w:rFonts w:ascii="Arial" w:hAnsi="Arial" w:cs="Arial"/>
                <w:sz w:val="20"/>
                <w:szCs w:val="20"/>
              </w:rPr>
            </w:pPr>
            <w:r w:rsidRPr="00990B05">
              <w:rPr>
                <w:rFonts w:ascii="Arial" w:hAnsi="Arial" w:cs="Arial"/>
                <w:sz w:val="20"/>
                <w:szCs w:val="20"/>
              </w:rPr>
              <w:t>Castelaci</w:t>
            </w:r>
            <w:r w:rsidR="00252829">
              <w:rPr>
                <w:rFonts w:ascii="Arial" w:hAnsi="Arial" w:cs="Arial"/>
                <w:sz w:val="20"/>
                <w:szCs w:val="20"/>
              </w:rPr>
              <w:t xml:space="preserve"> </w:t>
            </w:r>
            <w:r w:rsidR="006A457B" w:rsidRPr="00990B05">
              <w:rPr>
                <w:rFonts w:ascii="Arial" w:hAnsi="Arial" w:cs="Arial"/>
                <w:sz w:val="20"/>
                <w:szCs w:val="20"/>
              </w:rPr>
              <w:t>et al. (2016)</w:t>
            </w:r>
            <w:r w:rsidR="006A457B">
              <w:rPr>
                <w:rFonts w:ascii="Arial" w:hAnsi="Arial" w:cs="Arial"/>
                <w:sz w:val="20"/>
                <w:szCs w:val="20"/>
              </w:rPr>
              <w:t xml:space="preserve">; </w:t>
            </w:r>
            <w:r>
              <w:rPr>
                <w:rFonts w:ascii="Arial" w:hAnsi="Arial" w:cs="Arial"/>
                <w:sz w:val="20"/>
                <w:szCs w:val="20"/>
              </w:rPr>
              <w:t>Corona</w:t>
            </w:r>
            <w:r w:rsidR="0082567F">
              <w:rPr>
                <w:rFonts w:ascii="Arial" w:hAnsi="Arial" w:cs="Arial"/>
                <w:sz w:val="20"/>
                <w:szCs w:val="20"/>
              </w:rPr>
              <w:t>;</w:t>
            </w:r>
            <w:r w:rsidR="00252829">
              <w:rPr>
                <w:rFonts w:ascii="Arial" w:hAnsi="Arial" w:cs="Arial"/>
                <w:sz w:val="20"/>
                <w:szCs w:val="20"/>
              </w:rPr>
              <w:t xml:space="preserve"> </w:t>
            </w:r>
            <w:r>
              <w:rPr>
                <w:rFonts w:ascii="Arial" w:hAnsi="Arial" w:cs="Arial"/>
                <w:sz w:val="20"/>
                <w:szCs w:val="20"/>
              </w:rPr>
              <w:t>Duarte</w:t>
            </w:r>
            <w:r w:rsidR="0082567F">
              <w:rPr>
                <w:rFonts w:ascii="Arial" w:hAnsi="Arial" w:cs="Arial"/>
                <w:sz w:val="20"/>
                <w:szCs w:val="20"/>
              </w:rPr>
              <w:t xml:space="preserve">; </w:t>
            </w:r>
            <w:r>
              <w:rPr>
                <w:rFonts w:ascii="Arial" w:hAnsi="Arial" w:cs="Arial"/>
                <w:sz w:val="20"/>
                <w:szCs w:val="20"/>
              </w:rPr>
              <w:t xml:space="preserve">Lebrão </w:t>
            </w:r>
            <w:r w:rsidR="006A457B">
              <w:rPr>
                <w:rFonts w:ascii="Arial" w:hAnsi="Arial" w:cs="Arial"/>
                <w:sz w:val="20"/>
                <w:szCs w:val="20"/>
              </w:rPr>
              <w:t xml:space="preserve">(2014); </w:t>
            </w:r>
            <w:r>
              <w:rPr>
                <w:rFonts w:ascii="Arial" w:hAnsi="Arial" w:cs="Arial"/>
                <w:sz w:val="20"/>
                <w:szCs w:val="20"/>
              </w:rPr>
              <w:t xml:space="preserve">Milagres </w:t>
            </w:r>
            <w:r w:rsidR="006A457B">
              <w:rPr>
                <w:rFonts w:ascii="Arial" w:hAnsi="Arial" w:cs="Arial"/>
                <w:sz w:val="20"/>
                <w:szCs w:val="20"/>
              </w:rPr>
              <w:t>et al. (2015)</w:t>
            </w:r>
          </w:p>
        </w:tc>
        <w:tc>
          <w:tcPr>
            <w:tcW w:w="1792" w:type="pct"/>
            <w:vAlign w:val="center"/>
          </w:tcPr>
          <w:p w14:paraId="5AAC3837"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Idade</w:t>
            </w:r>
          </w:p>
        </w:tc>
        <w:tc>
          <w:tcPr>
            <w:tcW w:w="1792" w:type="pct"/>
            <w:vAlign w:val="center"/>
          </w:tcPr>
          <w:p w14:paraId="1BF58D92"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Idades mais avançadas associadas a maiores prevalências de anemia</w:t>
            </w:r>
          </w:p>
        </w:tc>
      </w:tr>
      <w:tr w:rsidR="006C203B" w14:paraId="17047447" w14:textId="77777777" w:rsidTr="00C87B48">
        <w:trPr>
          <w:trHeight w:val="970"/>
          <w:jc w:val="center"/>
        </w:trPr>
        <w:tc>
          <w:tcPr>
            <w:tcW w:w="1416" w:type="pct"/>
            <w:vAlign w:val="center"/>
          </w:tcPr>
          <w:p w14:paraId="07F7995B" w14:textId="1D72F05E" w:rsidR="006C203B" w:rsidRPr="0033386B" w:rsidRDefault="00E93AD6" w:rsidP="006A457B">
            <w:pPr>
              <w:spacing w:after="120" w:line="26" w:lineRule="atLeast"/>
              <w:jc w:val="center"/>
              <w:rPr>
                <w:rFonts w:ascii="Arial" w:hAnsi="Arial" w:cs="Arial"/>
                <w:sz w:val="20"/>
                <w:szCs w:val="20"/>
              </w:rPr>
            </w:pPr>
            <w:r w:rsidRPr="00990B05">
              <w:rPr>
                <w:rFonts w:ascii="Arial" w:hAnsi="Arial" w:cs="Arial"/>
                <w:sz w:val="20"/>
                <w:szCs w:val="20"/>
              </w:rPr>
              <w:t>Castelaci</w:t>
            </w:r>
            <w:r w:rsidR="00252829">
              <w:rPr>
                <w:rFonts w:ascii="Arial" w:hAnsi="Arial" w:cs="Arial"/>
                <w:sz w:val="20"/>
                <w:szCs w:val="20"/>
              </w:rPr>
              <w:t xml:space="preserve"> </w:t>
            </w:r>
            <w:r w:rsidR="006A457B" w:rsidRPr="00990B05">
              <w:rPr>
                <w:rFonts w:ascii="Arial" w:hAnsi="Arial" w:cs="Arial"/>
                <w:sz w:val="20"/>
                <w:szCs w:val="20"/>
              </w:rPr>
              <w:t>et al. (2016)</w:t>
            </w:r>
            <w:r w:rsidR="006A457B">
              <w:rPr>
                <w:rFonts w:ascii="Arial" w:hAnsi="Arial" w:cs="Arial"/>
                <w:sz w:val="20"/>
                <w:szCs w:val="20"/>
              </w:rPr>
              <w:t xml:space="preserve">; </w:t>
            </w:r>
            <w:r>
              <w:rPr>
                <w:rFonts w:ascii="Arial" w:hAnsi="Arial" w:cs="Arial"/>
                <w:sz w:val="20"/>
                <w:szCs w:val="20"/>
              </w:rPr>
              <w:t>Corona</w:t>
            </w:r>
            <w:r w:rsidR="0082567F">
              <w:rPr>
                <w:rFonts w:ascii="Arial" w:hAnsi="Arial" w:cs="Arial"/>
                <w:sz w:val="20"/>
                <w:szCs w:val="20"/>
              </w:rPr>
              <w:t xml:space="preserve">; </w:t>
            </w:r>
            <w:r>
              <w:rPr>
                <w:rFonts w:ascii="Arial" w:hAnsi="Arial" w:cs="Arial"/>
                <w:sz w:val="20"/>
                <w:szCs w:val="20"/>
              </w:rPr>
              <w:t>Duarte</w:t>
            </w:r>
            <w:r w:rsidR="0082567F">
              <w:rPr>
                <w:rFonts w:ascii="Arial" w:hAnsi="Arial" w:cs="Arial"/>
                <w:sz w:val="20"/>
                <w:szCs w:val="20"/>
              </w:rPr>
              <w:t>;</w:t>
            </w:r>
            <w:r w:rsidR="00252829">
              <w:rPr>
                <w:rFonts w:ascii="Arial" w:hAnsi="Arial" w:cs="Arial"/>
                <w:sz w:val="20"/>
                <w:szCs w:val="20"/>
              </w:rPr>
              <w:t xml:space="preserve"> </w:t>
            </w:r>
            <w:r w:rsidRPr="00990B05">
              <w:rPr>
                <w:rFonts w:ascii="Arial" w:hAnsi="Arial" w:cs="Arial"/>
                <w:sz w:val="20"/>
                <w:szCs w:val="20"/>
              </w:rPr>
              <w:t xml:space="preserve">Lebrão </w:t>
            </w:r>
            <w:r w:rsidR="006C203B" w:rsidRPr="00990B05">
              <w:rPr>
                <w:rFonts w:ascii="Arial" w:hAnsi="Arial" w:cs="Arial"/>
                <w:sz w:val="20"/>
                <w:szCs w:val="20"/>
              </w:rPr>
              <w:t>(2014)</w:t>
            </w:r>
          </w:p>
        </w:tc>
        <w:tc>
          <w:tcPr>
            <w:tcW w:w="1792" w:type="pct"/>
            <w:vAlign w:val="center"/>
          </w:tcPr>
          <w:p w14:paraId="40C2DB33"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Diabetes mellitus</w:t>
            </w:r>
          </w:p>
        </w:tc>
        <w:tc>
          <w:tcPr>
            <w:tcW w:w="1792" w:type="pct"/>
            <w:vAlign w:val="center"/>
          </w:tcPr>
          <w:p w14:paraId="0E6014A3"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Maior prevalência em indivíduos com diagnóstico de diabetes mellitus</w:t>
            </w:r>
          </w:p>
        </w:tc>
      </w:tr>
      <w:tr w:rsidR="006C203B" w14:paraId="18BCB6F5" w14:textId="77777777" w:rsidTr="00C87B48">
        <w:trPr>
          <w:trHeight w:val="997"/>
          <w:jc w:val="center"/>
        </w:trPr>
        <w:tc>
          <w:tcPr>
            <w:tcW w:w="1416" w:type="pct"/>
            <w:vAlign w:val="center"/>
          </w:tcPr>
          <w:p w14:paraId="20ED9113" w14:textId="0A1422CD" w:rsidR="006C203B" w:rsidRPr="0033386B" w:rsidRDefault="005C472A" w:rsidP="006C203B">
            <w:pPr>
              <w:spacing w:after="120" w:line="26" w:lineRule="atLeast"/>
              <w:jc w:val="center"/>
              <w:rPr>
                <w:rFonts w:ascii="Arial" w:hAnsi="Arial" w:cs="Arial"/>
                <w:sz w:val="20"/>
                <w:szCs w:val="20"/>
              </w:rPr>
            </w:pPr>
            <w:r w:rsidRPr="00990B05">
              <w:rPr>
                <w:rFonts w:ascii="Arial" w:hAnsi="Arial" w:cs="Arial"/>
                <w:sz w:val="20"/>
                <w:szCs w:val="20"/>
              </w:rPr>
              <w:lastRenderedPageBreak/>
              <w:t>Castelaci</w:t>
            </w:r>
            <w:r w:rsidR="00252829">
              <w:rPr>
                <w:rFonts w:ascii="Arial" w:hAnsi="Arial" w:cs="Arial"/>
                <w:sz w:val="20"/>
                <w:szCs w:val="20"/>
              </w:rPr>
              <w:t xml:space="preserve"> </w:t>
            </w:r>
            <w:r w:rsidR="006C203B" w:rsidRPr="00990B05">
              <w:rPr>
                <w:rFonts w:ascii="Arial" w:hAnsi="Arial" w:cs="Arial"/>
                <w:sz w:val="20"/>
                <w:szCs w:val="20"/>
              </w:rPr>
              <w:t>et al. (2016)</w:t>
            </w:r>
          </w:p>
        </w:tc>
        <w:tc>
          <w:tcPr>
            <w:tcW w:w="1792" w:type="pct"/>
            <w:vAlign w:val="center"/>
          </w:tcPr>
          <w:p w14:paraId="54E3521A"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Hipertensão arterial</w:t>
            </w:r>
          </w:p>
        </w:tc>
        <w:tc>
          <w:tcPr>
            <w:tcW w:w="1792" w:type="pct"/>
            <w:vAlign w:val="center"/>
          </w:tcPr>
          <w:p w14:paraId="2FD1A53C"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Maior prevalência em indivíduos com diagnóstico de hipertensão arterial</w:t>
            </w:r>
          </w:p>
        </w:tc>
      </w:tr>
      <w:tr w:rsidR="006C203B" w14:paraId="58C725B0" w14:textId="77777777" w:rsidTr="00C87B48">
        <w:trPr>
          <w:jc w:val="center"/>
        </w:trPr>
        <w:tc>
          <w:tcPr>
            <w:tcW w:w="1416" w:type="pct"/>
            <w:vAlign w:val="center"/>
          </w:tcPr>
          <w:p w14:paraId="1AC38569" w14:textId="3E5113B2" w:rsidR="006C203B" w:rsidRPr="0033386B" w:rsidRDefault="005C472A" w:rsidP="0082567F">
            <w:pPr>
              <w:spacing w:after="120" w:line="26" w:lineRule="atLeast"/>
              <w:jc w:val="center"/>
              <w:rPr>
                <w:rFonts w:ascii="Arial" w:hAnsi="Arial" w:cs="Arial"/>
                <w:sz w:val="20"/>
                <w:szCs w:val="20"/>
              </w:rPr>
            </w:pPr>
            <w:r w:rsidRPr="00990B05">
              <w:rPr>
                <w:rFonts w:ascii="Arial" w:hAnsi="Arial" w:cs="Arial"/>
                <w:sz w:val="20"/>
                <w:szCs w:val="20"/>
              </w:rPr>
              <w:t>Corona</w:t>
            </w:r>
            <w:r w:rsidR="0082567F">
              <w:rPr>
                <w:rFonts w:ascii="Arial" w:hAnsi="Arial" w:cs="Arial"/>
                <w:sz w:val="20"/>
                <w:szCs w:val="20"/>
              </w:rPr>
              <w:t>;</w:t>
            </w:r>
            <w:r w:rsidR="00252829">
              <w:rPr>
                <w:rFonts w:ascii="Arial" w:hAnsi="Arial" w:cs="Arial"/>
                <w:sz w:val="20"/>
                <w:szCs w:val="20"/>
              </w:rPr>
              <w:t xml:space="preserve"> </w:t>
            </w:r>
            <w:r w:rsidRPr="00990B05">
              <w:rPr>
                <w:rFonts w:ascii="Arial" w:hAnsi="Arial" w:cs="Arial"/>
                <w:sz w:val="20"/>
                <w:szCs w:val="20"/>
              </w:rPr>
              <w:t>Duarte</w:t>
            </w:r>
            <w:r w:rsidR="0082567F">
              <w:rPr>
                <w:rFonts w:ascii="Arial" w:hAnsi="Arial" w:cs="Arial"/>
                <w:sz w:val="20"/>
                <w:szCs w:val="20"/>
              </w:rPr>
              <w:t>;</w:t>
            </w:r>
            <w:r w:rsidR="00252829">
              <w:rPr>
                <w:rFonts w:ascii="Arial" w:hAnsi="Arial" w:cs="Arial"/>
                <w:sz w:val="20"/>
                <w:szCs w:val="20"/>
              </w:rPr>
              <w:t xml:space="preserve"> </w:t>
            </w:r>
            <w:r w:rsidRPr="00990B05">
              <w:rPr>
                <w:rFonts w:ascii="Arial" w:hAnsi="Arial" w:cs="Arial"/>
                <w:sz w:val="20"/>
                <w:szCs w:val="20"/>
              </w:rPr>
              <w:t xml:space="preserve">Lebrão </w:t>
            </w:r>
            <w:r w:rsidR="006C203B" w:rsidRPr="00990B05">
              <w:rPr>
                <w:rFonts w:ascii="Arial" w:hAnsi="Arial" w:cs="Arial"/>
                <w:sz w:val="20"/>
                <w:szCs w:val="20"/>
              </w:rPr>
              <w:t>(2014)</w:t>
            </w:r>
          </w:p>
        </w:tc>
        <w:tc>
          <w:tcPr>
            <w:tcW w:w="1792" w:type="pct"/>
            <w:vAlign w:val="center"/>
          </w:tcPr>
          <w:p w14:paraId="59E1CDA8"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Câncer</w:t>
            </w:r>
          </w:p>
        </w:tc>
        <w:tc>
          <w:tcPr>
            <w:tcW w:w="1792" w:type="pct"/>
            <w:vAlign w:val="center"/>
          </w:tcPr>
          <w:p w14:paraId="469B8EEE"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Prevalência significante de anemia em indivíduos com câncer</w:t>
            </w:r>
          </w:p>
        </w:tc>
      </w:tr>
      <w:tr w:rsidR="006C203B" w14:paraId="4E188285" w14:textId="77777777" w:rsidTr="00C87B48">
        <w:trPr>
          <w:trHeight w:val="1023"/>
          <w:jc w:val="center"/>
        </w:trPr>
        <w:tc>
          <w:tcPr>
            <w:tcW w:w="1416" w:type="pct"/>
            <w:vAlign w:val="center"/>
          </w:tcPr>
          <w:p w14:paraId="6AFDB9FC" w14:textId="1AE67B70" w:rsidR="006C203B" w:rsidRPr="0033386B" w:rsidRDefault="005C472A" w:rsidP="0082567F">
            <w:pPr>
              <w:spacing w:after="120" w:line="26" w:lineRule="atLeast"/>
              <w:jc w:val="center"/>
              <w:rPr>
                <w:rFonts w:ascii="Arial" w:hAnsi="Arial" w:cs="Arial"/>
                <w:sz w:val="20"/>
                <w:szCs w:val="20"/>
              </w:rPr>
            </w:pPr>
            <w:r w:rsidRPr="00990B05">
              <w:rPr>
                <w:rFonts w:ascii="Arial" w:hAnsi="Arial" w:cs="Arial"/>
                <w:sz w:val="20"/>
                <w:szCs w:val="20"/>
              </w:rPr>
              <w:t>Corona</w:t>
            </w:r>
            <w:r w:rsidR="0082567F">
              <w:rPr>
                <w:rFonts w:ascii="Arial" w:hAnsi="Arial" w:cs="Arial"/>
                <w:sz w:val="20"/>
                <w:szCs w:val="20"/>
              </w:rPr>
              <w:t xml:space="preserve">; </w:t>
            </w:r>
            <w:r w:rsidRPr="00990B05">
              <w:rPr>
                <w:rFonts w:ascii="Arial" w:hAnsi="Arial" w:cs="Arial"/>
                <w:sz w:val="20"/>
                <w:szCs w:val="20"/>
              </w:rPr>
              <w:t>Duarte</w:t>
            </w:r>
            <w:r w:rsidR="0082567F">
              <w:rPr>
                <w:rFonts w:ascii="Arial" w:hAnsi="Arial" w:cs="Arial"/>
                <w:sz w:val="20"/>
                <w:szCs w:val="20"/>
              </w:rPr>
              <w:t>;</w:t>
            </w:r>
            <w:r w:rsidR="00252829">
              <w:rPr>
                <w:rFonts w:ascii="Arial" w:hAnsi="Arial" w:cs="Arial"/>
                <w:sz w:val="20"/>
                <w:szCs w:val="20"/>
              </w:rPr>
              <w:t xml:space="preserve"> </w:t>
            </w:r>
            <w:r w:rsidRPr="00990B05">
              <w:rPr>
                <w:rFonts w:ascii="Arial" w:hAnsi="Arial" w:cs="Arial"/>
                <w:sz w:val="20"/>
                <w:szCs w:val="20"/>
              </w:rPr>
              <w:t xml:space="preserve">Lebrão </w:t>
            </w:r>
            <w:r w:rsidR="006C203B" w:rsidRPr="00990B05">
              <w:rPr>
                <w:rFonts w:ascii="Arial" w:hAnsi="Arial" w:cs="Arial"/>
                <w:sz w:val="20"/>
                <w:szCs w:val="20"/>
              </w:rPr>
              <w:t>(2014)</w:t>
            </w:r>
          </w:p>
        </w:tc>
        <w:tc>
          <w:tcPr>
            <w:tcW w:w="1792" w:type="pct"/>
            <w:vAlign w:val="center"/>
          </w:tcPr>
          <w:p w14:paraId="22D4EBB7"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Sintomas depressivos</w:t>
            </w:r>
          </w:p>
        </w:tc>
        <w:tc>
          <w:tcPr>
            <w:tcW w:w="1792" w:type="pct"/>
            <w:vAlign w:val="center"/>
          </w:tcPr>
          <w:p w14:paraId="5D6385FF"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Prevalência significante de anemia em indivíduos com sintomas depressivos</w:t>
            </w:r>
          </w:p>
        </w:tc>
      </w:tr>
      <w:tr w:rsidR="006C203B" w14:paraId="78C6FB06" w14:textId="77777777" w:rsidTr="00C87B48">
        <w:trPr>
          <w:jc w:val="center"/>
        </w:trPr>
        <w:tc>
          <w:tcPr>
            <w:tcW w:w="1416" w:type="pct"/>
            <w:vAlign w:val="center"/>
          </w:tcPr>
          <w:p w14:paraId="1D53FDF6" w14:textId="77777777" w:rsidR="006C203B" w:rsidRPr="0033386B" w:rsidRDefault="005C472A" w:rsidP="006C203B">
            <w:pPr>
              <w:spacing w:after="120" w:line="26" w:lineRule="atLeast"/>
              <w:jc w:val="center"/>
              <w:rPr>
                <w:rFonts w:ascii="Arial" w:hAnsi="Arial" w:cs="Arial"/>
                <w:sz w:val="20"/>
                <w:szCs w:val="20"/>
              </w:rPr>
            </w:pPr>
            <w:r>
              <w:rPr>
                <w:rFonts w:ascii="Arial" w:hAnsi="Arial" w:cs="Arial"/>
                <w:sz w:val="20"/>
                <w:szCs w:val="20"/>
              </w:rPr>
              <w:t xml:space="preserve">Bosco </w:t>
            </w:r>
            <w:r w:rsidR="003B16C5">
              <w:rPr>
                <w:rFonts w:ascii="Arial" w:hAnsi="Arial" w:cs="Arial"/>
                <w:sz w:val="20"/>
                <w:szCs w:val="20"/>
              </w:rPr>
              <w:t>et al. (2013</w:t>
            </w:r>
            <w:r w:rsidR="006C203B" w:rsidRPr="00990B05">
              <w:rPr>
                <w:rFonts w:ascii="Arial" w:hAnsi="Arial" w:cs="Arial"/>
                <w:sz w:val="20"/>
                <w:szCs w:val="20"/>
              </w:rPr>
              <w:t>)</w:t>
            </w:r>
          </w:p>
        </w:tc>
        <w:tc>
          <w:tcPr>
            <w:tcW w:w="1792" w:type="pct"/>
            <w:vAlign w:val="center"/>
          </w:tcPr>
          <w:p w14:paraId="3A429172"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Polifarmácia</w:t>
            </w:r>
          </w:p>
        </w:tc>
        <w:tc>
          <w:tcPr>
            <w:tcW w:w="1792" w:type="pct"/>
            <w:vAlign w:val="center"/>
          </w:tcPr>
          <w:p w14:paraId="26D29C68" w14:textId="77777777" w:rsidR="006C203B" w:rsidRPr="00CC1ACF" w:rsidRDefault="006C203B" w:rsidP="006C203B">
            <w:pPr>
              <w:spacing w:after="120" w:line="26" w:lineRule="atLeast"/>
              <w:jc w:val="center"/>
              <w:rPr>
                <w:rFonts w:ascii="Arial" w:hAnsi="Arial" w:cs="Arial"/>
                <w:sz w:val="20"/>
                <w:szCs w:val="20"/>
              </w:rPr>
            </w:pPr>
            <w:r>
              <w:rPr>
                <w:rFonts w:ascii="Arial" w:hAnsi="Arial" w:cs="Arial"/>
                <w:sz w:val="20"/>
                <w:szCs w:val="20"/>
              </w:rPr>
              <w:t>Maior prevalência em indivíduos que faziam uso de mais de um medicamento</w:t>
            </w:r>
          </w:p>
        </w:tc>
      </w:tr>
      <w:tr w:rsidR="006C203B" w14:paraId="2D574909" w14:textId="77777777" w:rsidTr="00C87B48">
        <w:trPr>
          <w:jc w:val="center"/>
        </w:trPr>
        <w:tc>
          <w:tcPr>
            <w:tcW w:w="1416" w:type="pct"/>
            <w:vAlign w:val="center"/>
          </w:tcPr>
          <w:p w14:paraId="04990CB2" w14:textId="479772E7" w:rsidR="006C203B" w:rsidRPr="0033386B" w:rsidRDefault="005C472A" w:rsidP="006C203B">
            <w:pPr>
              <w:spacing w:after="120" w:line="26" w:lineRule="atLeast"/>
              <w:jc w:val="center"/>
              <w:rPr>
                <w:rFonts w:ascii="Arial" w:hAnsi="Arial" w:cs="Arial"/>
                <w:sz w:val="20"/>
                <w:szCs w:val="20"/>
              </w:rPr>
            </w:pPr>
            <w:r w:rsidRPr="00990B05">
              <w:rPr>
                <w:rFonts w:ascii="Arial" w:hAnsi="Arial" w:cs="Arial"/>
                <w:sz w:val="20"/>
                <w:szCs w:val="20"/>
              </w:rPr>
              <w:t>Castelaci</w:t>
            </w:r>
            <w:r w:rsidR="00252829">
              <w:rPr>
                <w:rFonts w:ascii="Arial" w:hAnsi="Arial" w:cs="Arial"/>
                <w:sz w:val="20"/>
                <w:szCs w:val="20"/>
              </w:rPr>
              <w:t xml:space="preserve"> </w:t>
            </w:r>
            <w:r w:rsidR="006C203B" w:rsidRPr="00990B05">
              <w:rPr>
                <w:rFonts w:ascii="Arial" w:hAnsi="Arial" w:cs="Arial"/>
                <w:sz w:val="20"/>
                <w:szCs w:val="20"/>
              </w:rPr>
              <w:t>et al. (2016)</w:t>
            </w:r>
          </w:p>
        </w:tc>
        <w:tc>
          <w:tcPr>
            <w:tcW w:w="1792" w:type="pct"/>
            <w:vAlign w:val="center"/>
          </w:tcPr>
          <w:p w14:paraId="7E88B159"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Filhos</w:t>
            </w:r>
          </w:p>
        </w:tc>
        <w:tc>
          <w:tcPr>
            <w:tcW w:w="1792" w:type="pct"/>
            <w:vAlign w:val="center"/>
          </w:tcPr>
          <w:p w14:paraId="5D08955F" w14:textId="77777777" w:rsidR="006C203B" w:rsidRDefault="006C203B" w:rsidP="006C203B">
            <w:pPr>
              <w:spacing w:after="120" w:line="26" w:lineRule="atLeast"/>
              <w:jc w:val="center"/>
              <w:rPr>
                <w:rFonts w:ascii="Arial" w:hAnsi="Arial" w:cs="Arial"/>
                <w:sz w:val="20"/>
                <w:szCs w:val="20"/>
              </w:rPr>
            </w:pPr>
            <w:r>
              <w:rPr>
                <w:rFonts w:ascii="Arial" w:hAnsi="Arial" w:cs="Arial"/>
                <w:sz w:val="20"/>
                <w:szCs w:val="20"/>
              </w:rPr>
              <w:t>Maior prevalência em indivíduos que não possuíam filhos</w:t>
            </w:r>
          </w:p>
        </w:tc>
      </w:tr>
      <w:tr w:rsidR="006C203B" w14:paraId="60544041" w14:textId="77777777" w:rsidTr="00C87B48">
        <w:trPr>
          <w:jc w:val="center"/>
        </w:trPr>
        <w:tc>
          <w:tcPr>
            <w:tcW w:w="1416" w:type="pct"/>
            <w:vAlign w:val="center"/>
          </w:tcPr>
          <w:p w14:paraId="0899AADA" w14:textId="29BD17B0" w:rsidR="006C203B" w:rsidRPr="0033386B" w:rsidRDefault="005C472A" w:rsidP="006C203B">
            <w:pPr>
              <w:spacing w:after="120" w:line="26" w:lineRule="atLeast"/>
              <w:jc w:val="center"/>
              <w:rPr>
                <w:rFonts w:ascii="Arial" w:hAnsi="Arial" w:cs="Arial"/>
                <w:sz w:val="20"/>
                <w:szCs w:val="20"/>
              </w:rPr>
            </w:pPr>
            <w:r w:rsidRPr="00990B05">
              <w:rPr>
                <w:rFonts w:ascii="Arial" w:hAnsi="Arial" w:cs="Arial"/>
                <w:sz w:val="20"/>
                <w:szCs w:val="20"/>
              </w:rPr>
              <w:t>Castelaci</w:t>
            </w:r>
            <w:r w:rsidR="00252829">
              <w:rPr>
                <w:rFonts w:ascii="Arial" w:hAnsi="Arial" w:cs="Arial"/>
                <w:sz w:val="20"/>
                <w:szCs w:val="20"/>
              </w:rPr>
              <w:t xml:space="preserve"> </w:t>
            </w:r>
            <w:r w:rsidR="006C203B" w:rsidRPr="00990B05">
              <w:rPr>
                <w:rFonts w:ascii="Arial" w:hAnsi="Arial" w:cs="Arial"/>
                <w:sz w:val="20"/>
                <w:szCs w:val="20"/>
              </w:rPr>
              <w:t>et al. (2016)</w:t>
            </w:r>
          </w:p>
        </w:tc>
        <w:tc>
          <w:tcPr>
            <w:tcW w:w="1792" w:type="pct"/>
            <w:vAlign w:val="center"/>
          </w:tcPr>
          <w:p w14:paraId="0A3C12BD" w14:textId="77777777" w:rsidR="006C203B" w:rsidRDefault="006C203B" w:rsidP="0009295F">
            <w:pPr>
              <w:spacing w:after="120" w:line="26" w:lineRule="atLeast"/>
              <w:jc w:val="center"/>
              <w:rPr>
                <w:rFonts w:ascii="Arial" w:hAnsi="Arial" w:cs="Arial"/>
                <w:sz w:val="20"/>
                <w:szCs w:val="20"/>
              </w:rPr>
            </w:pPr>
            <w:r>
              <w:rPr>
                <w:rFonts w:ascii="Arial" w:hAnsi="Arial" w:cs="Arial"/>
                <w:sz w:val="20"/>
                <w:szCs w:val="20"/>
              </w:rPr>
              <w:t>Horas de sono</w:t>
            </w:r>
          </w:p>
        </w:tc>
        <w:tc>
          <w:tcPr>
            <w:tcW w:w="1792" w:type="pct"/>
            <w:vAlign w:val="center"/>
          </w:tcPr>
          <w:p w14:paraId="3DA79036" w14:textId="77777777" w:rsidR="006C203B" w:rsidRDefault="006C203B" w:rsidP="0009295F">
            <w:pPr>
              <w:spacing w:after="120" w:line="26" w:lineRule="atLeast"/>
              <w:jc w:val="center"/>
              <w:rPr>
                <w:rFonts w:ascii="Arial" w:hAnsi="Arial" w:cs="Arial"/>
                <w:sz w:val="20"/>
                <w:szCs w:val="20"/>
              </w:rPr>
            </w:pPr>
            <w:r>
              <w:rPr>
                <w:rFonts w:ascii="Arial" w:hAnsi="Arial" w:cs="Arial"/>
                <w:sz w:val="20"/>
                <w:szCs w:val="20"/>
              </w:rPr>
              <w:t>Maior prevalência em indivíduos que dormiam mais de 9 horas</w:t>
            </w:r>
          </w:p>
        </w:tc>
      </w:tr>
    </w:tbl>
    <w:p w14:paraId="7529FB32" w14:textId="77777777" w:rsidR="00A92806" w:rsidRDefault="00A92806" w:rsidP="00A92806">
      <w:pPr>
        <w:pStyle w:val="Default"/>
        <w:spacing w:after="120" w:line="26" w:lineRule="atLeast"/>
        <w:rPr>
          <w:rFonts w:ascii="Arial" w:hAnsi="Arial" w:cs="Arial"/>
          <w:sz w:val="20"/>
          <w:szCs w:val="22"/>
        </w:rPr>
      </w:pPr>
      <w:r w:rsidRPr="009D729B">
        <w:rPr>
          <w:rFonts w:ascii="Arial" w:hAnsi="Arial" w:cs="Arial"/>
          <w:sz w:val="20"/>
          <w:szCs w:val="22"/>
        </w:rPr>
        <w:t>Fonte:</w:t>
      </w:r>
      <w:r>
        <w:rPr>
          <w:rFonts w:ascii="Arial" w:hAnsi="Arial" w:cs="Arial"/>
          <w:sz w:val="20"/>
          <w:szCs w:val="22"/>
        </w:rPr>
        <w:t xml:space="preserve"> Elaborado pelas autoras.</w:t>
      </w:r>
    </w:p>
    <w:p w14:paraId="6696A2BA" w14:textId="77777777" w:rsidR="00DD7A49" w:rsidRDefault="00DD7A49" w:rsidP="00DD7A49">
      <w:pPr>
        <w:pStyle w:val="Default"/>
        <w:spacing w:after="120" w:line="26" w:lineRule="atLeast"/>
        <w:ind w:firstLine="708"/>
        <w:jc w:val="both"/>
        <w:rPr>
          <w:rFonts w:ascii="Arial" w:hAnsi="Arial" w:cs="Arial"/>
          <w:b/>
          <w:sz w:val="20"/>
          <w:szCs w:val="20"/>
        </w:rPr>
      </w:pPr>
    </w:p>
    <w:p w14:paraId="7AB67DD5" w14:textId="77777777" w:rsidR="00F07C88" w:rsidRDefault="00F07C88" w:rsidP="00F07C88">
      <w:pPr>
        <w:pStyle w:val="Default"/>
        <w:spacing w:after="120" w:line="26" w:lineRule="atLeast"/>
        <w:ind w:firstLine="708"/>
        <w:jc w:val="both"/>
        <w:rPr>
          <w:rFonts w:ascii="Arial" w:hAnsi="Arial" w:cs="Arial"/>
          <w:sz w:val="22"/>
          <w:szCs w:val="22"/>
        </w:rPr>
      </w:pPr>
      <w:r>
        <w:rPr>
          <w:rFonts w:ascii="Arial" w:hAnsi="Arial" w:cs="Arial"/>
          <w:sz w:val="22"/>
          <w:szCs w:val="22"/>
        </w:rPr>
        <w:t>Associada às análises bioquímicas, deve ser observado que o envelhecimento pode ser considerado um fator de risco para a anemia ferropriva, uma vez que os idosos avaliados apresentaram valores de Hb limítrofes para o diagnóstico de anemia, mesmo quando não-anêmicos. Bosco et al. (2013) encontrou idosos com Hb de 11,0±</w:t>
      </w:r>
      <w:r w:rsidRPr="004A45EE">
        <w:rPr>
          <w:rFonts w:ascii="Arial" w:hAnsi="Arial" w:cs="Arial"/>
          <w:sz w:val="22"/>
          <w:szCs w:val="22"/>
        </w:rPr>
        <w:t>10,6</w:t>
      </w:r>
      <w:r>
        <w:rPr>
          <w:rFonts w:ascii="Arial" w:hAnsi="Arial" w:cs="Arial"/>
          <w:sz w:val="22"/>
          <w:szCs w:val="22"/>
        </w:rPr>
        <w:t>g/dL (anêmicos) e 13,5</w:t>
      </w:r>
      <w:r w:rsidRPr="004A45EE">
        <w:rPr>
          <w:rFonts w:ascii="Arial" w:hAnsi="Arial" w:cs="Arial"/>
          <w:sz w:val="22"/>
          <w:szCs w:val="22"/>
        </w:rPr>
        <w:t>±</w:t>
      </w:r>
      <w:r>
        <w:rPr>
          <w:rFonts w:ascii="Arial" w:hAnsi="Arial" w:cs="Arial"/>
          <w:sz w:val="22"/>
          <w:szCs w:val="22"/>
        </w:rPr>
        <w:t xml:space="preserve">10,5g/dL (não-anêmicos), assim como Milagres et al. (2015), </w:t>
      </w:r>
      <w:r w:rsidRPr="004A45EE">
        <w:rPr>
          <w:rFonts w:ascii="Arial" w:hAnsi="Arial" w:cs="Arial"/>
          <w:sz w:val="22"/>
          <w:szCs w:val="22"/>
        </w:rPr>
        <w:t>13,7±</w:t>
      </w:r>
      <w:r>
        <w:rPr>
          <w:rFonts w:ascii="Arial" w:hAnsi="Arial" w:cs="Arial"/>
          <w:sz w:val="22"/>
          <w:szCs w:val="22"/>
        </w:rPr>
        <w:t>1,3g/dL e Silva et al. (2013), 14,5</w:t>
      </w:r>
      <w:r w:rsidRPr="004A45EE">
        <w:rPr>
          <w:rFonts w:ascii="Arial" w:hAnsi="Arial" w:cs="Arial"/>
          <w:sz w:val="22"/>
          <w:szCs w:val="22"/>
        </w:rPr>
        <w:t>±</w:t>
      </w:r>
      <w:r>
        <w:rPr>
          <w:rFonts w:ascii="Arial" w:hAnsi="Arial" w:cs="Arial"/>
          <w:sz w:val="22"/>
          <w:szCs w:val="22"/>
        </w:rPr>
        <w:t>1,4 g/dL</w:t>
      </w:r>
      <w:r w:rsidRPr="004A45EE">
        <w:rPr>
          <w:rFonts w:ascii="Arial" w:hAnsi="Arial" w:cs="Arial"/>
          <w:sz w:val="22"/>
          <w:szCs w:val="22"/>
        </w:rPr>
        <w:t>.</w:t>
      </w:r>
    </w:p>
    <w:p w14:paraId="266BBB59" w14:textId="77777777" w:rsidR="00F07C88" w:rsidRDefault="00F07C88" w:rsidP="00F07C88">
      <w:pPr>
        <w:pStyle w:val="Default"/>
        <w:spacing w:after="120" w:line="26" w:lineRule="atLeast"/>
        <w:ind w:firstLine="567"/>
        <w:jc w:val="both"/>
        <w:rPr>
          <w:rFonts w:ascii="Arial" w:hAnsi="Arial" w:cs="Arial"/>
          <w:sz w:val="22"/>
          <w:szCs w:val="22"/>
        </w:rPr>
      </w:pPr>
      <w:r w:rsidRPr="00D3552B">
        <w:rPr>
          <w:rFonts w:ascii="Arial" w:hAnsi="Arial" w:cs="Arial"/>
          <w:sz w:val="22"/>
          <w:szCs w:val="22"/>
        </w:rPr>
        <w:t>No tocante ao consumo alimentar, Lopes</w:t>
      </w:r>
      <w:r w:rsidRPr="00FB6249">
        <w:rPr>
          <w:rFonts w:ascii="Arial" w:hAnsi="Arial" w:cs="Arial"/>
          <w:sz w:val="22"/>
          <w:szCs w:val="22"/>
        </w:rPr>
        <w:t xml:space="preserve"> (2005) relataram baixo consumo de proteína e excesso de gorduras, estando esta</w:t>
      </w:r>
      <w:r>
        <w:rPr>
          <w:rFonts w:ascii="Arial" w:hAnsi="Arial" w:cs="Arial"/>
          <w:sz w:val="22"/>
          <w:szCs w:val="22"/>
        </w:rPr>
        <w:t xml:space="preserve"> última</w:t>
      </w:r>
      <w:r w:rsidRPr="00FB6249">
        <w:rPr>
          <w:rFonts w:ascii="Arial" w:hAnsi="Arial" w:cs="Arial"/>
          <w:sz w:val="22"/>
          <w:szCs w:val="22"/>
        </w:rPr>
        <w:t xml:space="preserve"> relacionada ao aumento da chance do desenvolvimento da anemia em 3,45 vezes</w:t>
      </w:r>
      <w:r>
        <w:rPr>
          <w:rFonts w:ascii="Arial" w:hAnsi="Arial" w:cs="Arial"/>
          <w:sz w:val="22"/>
          <w:szCs w:val="22"/>
        </w:rPr>
        <w:t xml:space="preserve"> (</w:t>
      </w:r>
      <w:r w:rsidRPr="00FB6249">
        <w:rPr>
          <w:rFonts w:ascii="Arial" w:hAnsi="Arial" w:cs="Arial"/>
          <w:sz w:val="22"/>
          <w:szCs w:val="22"/>
        </w:rPr>
        <w:t xml:space="preserve">CASTELACI </w:t>
      </w:r>
      <w:r>
        <w:rPr>
          <w:rFonts w:ascii="Arial" w:hAnsi="Arial" w:cs="Arial"/>
          <w:sz w:val="22"/>
          <w:szCs w:val="22"/>
        </w:rPr>
        <w:t xml:space="preserve">et al., </w:t>
      </w:r>
      <w:r w:rsidRPr="00FB6249">
        <w:rPr>
          <w:rFonts w:ascii="Arial" w:hAnsi="Arial" w:cs="Arial"/>
          <w:sz w:val="22"/>
          <w:szCs w:val="22"/>
        </w:rPr>
        <w:t>2016).</w:t>
      </w:r>
    </w:p>
    <w:p w14:paraId="2F4FE0B1" w14:textId="0DFEFF08" w:rsidR="00F07C88" w:rsidRDefault="00F07C88" w:rsidP="00F07C88">
      <w:pPr>
        <w:pStyle w:val="Default"/>
        <w:spacing w:after="120" w:line="26" w:lineRule="atLeast"/>
        <w:ind w:firstLine="708"/>
        <w:jc w:val="both"/>
        <w:rPr>
          <w:rFonts w:ascii="Arial" w:hAnsi="Arial" w:cs="Arial"/>
          <w:sz w:val="22"/>
          <w:szCs w:val="22"/>
        </w:rPr>
      </w:pPr>
      <w:r>
        <w:rPr>
          <w:rFonts w:ascii="Arial" w:hAnsi="Arial" w:cs="Arial"/>
          <w:sz w:val="22"/>
          <w:szCs w:val="22"/>
        </w:rPr>
        <w:t>V</w:t>
      </w:r>
      <w:r w:rsidRPr="00FB6249">
        <w:rPr>
          <w:rFonts w:ascii="Arial" w:hAnsi="Arial" w:cs="Arial"/>
          <w:sz w:val="22"/>
          <w:szCs w:val="22"/>
        </w:rPr>
        <w:t xml:space="preserve">ariações no consumo </w:t>
      </w:r>
      <w:r>
        <w:rPr>
          <w:rFonts w:ascii="Arial" w:hAnsi="Arial" w:cs="Arial"/>
          <w:sz w:val="22"/>
          <w:szCs w:val="22"/>
        </w:rPr>
        <w:t xml:space="preserve">de ferro foram encontradas </w:t>
      </w:r>
      <w:r w:rsidRPr="00FB6249">
        <w:rPr>
          <w:rFonts w:ascii="Arial" w:hAnsi="Arial" w:cs="Arial"/>
          <w:sz w:val="22"/>
          <w:szCs w:val="22"/>
        </w:rPr>
        <w:t xml:space="preserve">entre os diferentes estudos: </w:t>
      </w:r>
      <w:r w:rsidRPr="00B74B03">
        <w:rPr>
          <w:rFonts w:ascii="Arial" w:hAnsi="Arial" w:cs="Arial"/>
          <w:sz w:val="22"/>
          <w:szCs w:val="22"/>
        </w:rPr>
        <w:t xml:space="preserve">Lopes et al. (2005) encontrou ingestão insuficiente em 50,9% da amostra; Menezes, </w:t>
      </w:r>
      <w:r w:rsidRPr="00B74B03">
        <w:rPr>
          <w:rFonts w:ascii="Arial" w:eastAsia="Calibri" w:hAnsi="Arial" w:cs="Arial"/>
          <w:sz w:val="22"/>
          <w:szCs w:val="22"/>
        </w:rPr>
        <w:t>Marucci</w:t>
      </w:r>
      <w:r w:rsidRPr="00B74B03">
        <w:rPr>
          <w:rFonts w:ascii="Arial" w:hAnsi="Arial" w:cs="Arial"/>
          <w:sz w:val="22"/>
          <w:szCs w:val="22"/>
        </w:rPr>
        <w:t xml:space="preserve"> e Holanda (2005) ingestão excessiva para 72,3% dos homens e 41% das mulheres e Colares-Bento et al (2008) encontraram que 38,7% da amostra apresen</w:t>
      </w:r>
      <w:r>
        <w:rPr>
          <w:rFonts w:ascii="Arial" w:hAnsi="Arial" w:cs="Arial"/>
          <w:sz w:val="22"/>
          <w:szCs w:val="22"/>
        </w:rPr>
        <w:t xml:space="preserve">tava ingestão de ferro adequada, não sendo observada diferença significativa entre anêmicos e não-anêmicos. Schaan et al. (2007) ressaltou, entretanto, </w:t>
      </w:r>
      <w:r w:rsidRPr="00B74B03">
        <w:rPr>
          <w:rFonts w:ascii="Arial" w:hAnsi="Arial" w:cs="Arial"/>
          <w:sz w:val="22"/>
          <w:szCs w:val="22"/>
        </w:rPr>
        <w:t>a importância do ferro para a prevenção e tratamento da anemia ferropriva, assim com</w:t>
      </w:r>
      <w:r>
        <w:rPr>
          <w:rFonts w:ascii="Arial" w:hAnsi="Arial" w:cs="Arial"/>
          <w:sz w:val="22"/>
          <w:szCs w:val="22"/>
        </w:rPr>
        <w:t xml:space="preserve">o que o consumo insuficiente </w:t>
      </w:r>
      <w:r w:rsidRPr="00B74B03">
        <w:rPr>
          <w:rFonts w:ascii="Arial" w:hAnsi="Arial" w:cs="Arial"/>
          <w:sz w:val="22"/>
          <w:szCs w:val="22"/>
        </w:rPr>
        <w:t>pode</w:t>
      </w:r>
      <w:r w:rsidRPr="00FB6249">
        <w:rPr>
          <w:rFonts w:ascii="Arial" w:hAnsi="Arial" w:cs="Arial"/>
          <w:sz w:val="22"/>
          <w:szCs w:val="22"/>
        </w:rPr>
        <w:t xml:space="preserve"> se relacionar à </w:t>
      </w:r>
      <w:r>
        <w:rPr>
          <w:rFonts w:ascii="Arial" w:hAnsi="Arial" w:cs="Arial"/>
          <w:sz w:val="22"/>
          <w:szCs w:val="22"/>
        </w:rPr>
        <w:t xml:space="preserve">sua </w:t>
      </w:r>
      <w:r w:rsidRPr="00FB6249">
        <w:rPr>
          <w:rFonts w:ascii="Arial" w:hAnsi="Arial" w:cs="Arial"/>
          <w:sz w:val="22"/>
          <w:szCs w:val="22"/>
        </w:rPr>
        <w:t>prevalência e incidência</w:t>
      </w:r>
      <w:r>
        <w:rPr>
          <w:rFonts w:ascii="Arial" w:hAnsi="Arial" w:cs="Arial"/>
          <w:sz w:val="22"/>
          <w:szCs w:val="22"/>
        </w:rPr>
        <w:t xml:space="preserve">. Ademais, foi ressaltado o papel do equilíbrio na ingestão de outros nutrientes, do </w:t>
      </w:r>
      <w:r w:rsidRPr="00B74B03">
        <w:rPr>
          <w:rFonts w:ascii="Arial" w:hAnsi="Arial" w:cs="Arial"/>
          <w:sz w:val="22"/>
          <w:szCs w:val="22"/>
        </w:rPr>
        <w:t xml:space="preserve">valor energético total da dieta </w:t>
      </w:r>
      <w:r>
        <w:rPr>
          <w:rFonts w:ascii="Arial" w:hAnsi="Arial" w:cs="Arial"/>
          <w:sz w:val="22"/>
          <w:szCs w:val="22"/>
        </w:rPr>
        <w:t>e da</w:t>
      </w:r>
      <w:r w:rsidRPr="00B74B03">
        <w:rPr>
          <w:rFonts w:ascii="Arial" w:hAnsi="Arial" w:cs="Arial"/>
          <w:sz w:val="22"/>
          <w:szCs w:val="22"/>
        </w:rPr>
        <w:t>s questões fisiológicas intrínsecas à faixa etária dos indivíduos.</w:t>
      </w:r>
    </w:p>
    <w:p w14:paraId="3BED9ECD" w14:textId="77777777" w:rsidR="00DD7A49" w:rsidRPr="00FB6249" w:rsidRDefault="00DD7A49" w:rsidP="00DD7A49">
      <w:pPr>
        <w:pStyle w:val="Default"/>
        <w:spacing w:after="120" w:line="26" w:lineRule="atLeast"/>
        <w:ind w:firstLine="708"/>
        <w:jc w:val="both"/>
        <w:rPr>
          <w:rFonts w:ascii="Arial" w:hAnsi="Arial" w:cs="Arial"/>
          <w:sz w:val="22"/>
          <w:szCs w:val="22"/>
        </w:rPr>
      </w:pPr>
      <w:r>
        <w:rPr>
          <w:rFonts w:ascii="Arial" w:hAnsi="Arial" w:cs="Arial"/>
          <w:sz w:val="22"/>
          <w:szCs w:val="22"/>
        </w:rPr>
        <w:t xml:space="preserve">Em complementação ao fator idade, </w:t>
      </w:r>
      <w:r w:rsidRPr="00FB6249">
        <w:rPr>
          <w:rFonts w:ascii="Arial" w:hAnsi="Arial" w:cs="Arial"/>
          <w:sz w:val="22"/>
          <w:szCs w:val="22"/>
        </w:rPr>
        <w:t>Castelaci et al. (2016) demonstraram maior prevalência e um risco cerca de 7 vezes maior em idosos com 80 anos ou mais, quando comparados aos mais novos, enquanto que Buffon et al. (2015) apontou 3,1 vezes mais risco.</w:t>
      </w:r>
    </w:p>
    <w:p w14:paraId="25F1E129" w14:textId="77777777" w:rsidR="00DD7A49" w:rsidRDefault="008369C5" w:rsidP="00DD7A49">
      <w:pPr>
        <w:pStyle w:val="Default"/>
        <w:spacing w:after="120" w:line="26" w:lineRule="atLeast"/>
        <w:ind w:firstLine="708"/>
        <w:jc w:val="both"/>
        <w:rPr>
          <w:rFonts w:ascii="Arial" w:hAnsi="Arial" w:cs="Arial"/>
          <w:sz w:val="22"/>
          <w:szCs w:val="22"/>
        </w:rPr>
      </w:pPr>
      <w:r>
        <w:rPr>
          <w:rFonts w:ascii="Arial" w:hAnsi="Arial" w:cs="Arial"/>
          <w:sz w:val="22"/>
          <w:szCs w:val="22"/>
        </w:rPr>
        <w:t>Es</w:t>
      </w:r>
      <w:r w:rsidR="00DD7A49" w:rsidRPr="00FB6249">
        <w:rPr>
          <w:rFonts w:ascii="Arial" w:hAnsi="Arial" w:cs="Arial"/>
          <w:sz w:val="22"/>
          <w:szCs w:val="22"/>
        </w:rPr>
        <w:t>tudos mostram a associação positiva com o sexo masculino e a escolaridade, que apesar de não ser considerada como um fator independente observou-se que quanto menor o nível, maior a prevalência de anemia (BUFFON et al., 2015; CORONA; DUARTE; LEBRÃO, 2014; MAC</w:t>
      </w:r>
      <w:r w:rsidR="00DD7A49">
        <w:rPr>
          <w:rFonts w:ascii="Arial" w:hAnsi="Arial" w:cs="Arial"/>
          <w:sz w:val="22"/>
          <w:szCs w:val="22"/>
        </w:rPr>
        <w:t>Ê</w:t>
      </w:r>
      <w:r w:rsidR="00DD7A49" w:rsidRPr="00FB6249">
        <w:rPr>
          <w:rFonts w:ascii="Arial" w:hAnsi="Arial" w:cs="Arial"/>
          <w:sz w:val="22"/>
          <w:szCs w:val="22"/>
        </w:rPr>
        <w:t xml:space="preserve">DO et al., 2011; MILAGRES et al., 2015; SILVA et al., 2013). </w:t>
      </w:r>
    </w:p>
    <w:p w14:paraId="0CB8C683" w14:textId="0F8BDC2D" w:rsidR="005F0318" w:rsidRPr="004D1A5E" w:rsidRDefault="008369C5" w:rsidP="004C1B26">
      <w:pPr>
        <w:pStyle w:val="Default"/>
        <w:spacing w:after="120" w:line="26" w:lineRule="atLeast"/>
        <w:ind w:firstLine="708"/>
        <w:jc w:val="both"/>
        <w:rPr>
          <w:rFonts w:ascii="Arial" w:hAnsi="Arial" w:cs="Arial"/>
          <w:sz w:val="20"/>
          <w:szCs w:val="20"/>
        </w:rPr>
      </w:pPr>
      <w:r>
        <w:rPr>
          <w:rFonts w:ascii="Arial" w:hAnsi="Arial" w:cs="Arial"/>
          <w:sz w:val="22"/>
          <w:szCs w:val="22"/>
        </w:rPr>
        <w:t>N</w:t>
      </w:r>
      <w:r w:rsidR="00DD7A49">
        <w:rPr>
          <w:rFonts w:ascii="Arial" w:hAnsi="Arial" w:cs="Arial"/>
          <w:sz w:val="22"/>
          <w:szCs w:val="22"/>
        </w:rPr>
        <w:t>ão foi encontrada uma convergência entre os estudos analisados</w:t>
      </w:r>
      <w:r>
        <w:rPr>
          <w:rFonts w:ascii="Arial" w:hAnsi="Arial" w:cs="Arial"/>
          <w:sz w:val="22"/>
          <w:szCs w:val="22"/>
        </w:rPr>
        <w:t xml:space="preserve"> quanto ao fator gênero</w:t>
      </w:r>
      <w:r w:rsidR="00DD7A49">
        <w:rPr>
          <w:rFonts w:ascii="Arial" w:hAnsi="Arial" w:cs="Arial"/>
          <w:sz w:val="22"/>
          <w:szCs w:val="22"/>
        </w:rPr>
        <w:t xml:space="preserve">, uma vez que </w:t>
      </w:r>
      <w:r w:rsidR="00DD7A49" w:rsidRPr="004A45EE">
        <w:rPr>
          <w:rFonts w:ascii="Arial" w:hAnsi="Arial" w:cs="Arial"/>
          <w:sz w:val="22"/>
          <w:szCs w:val="22"/>
        </w:rPr>
        <w:t xml:space="preserve">Corona, Duarte e Lebrão (2014) </w:t>
      </w:r>
      <w:r w:rsidR="00DD7A49">
        <w:rPr>
          <w:rFonts w:ascii="Arial" w:hAnsi="Arial" w:cs="Arial"/>
          <w:sz w:val="22"/>
          <w:szCs w:val="22"/>
        </w:rPr>
        <w:t xml:space="preserve">e Milagres et al. (2015) </w:t>
      </w:r>
      <w:r w:rsidR="00DD7A49">
        <w:rPr>
          <w:rFonts w:ascii="Arial" w:hAnsi="Arial" w:cs="Arial"/>
          <w:sz w:val="22"/>
          <w:szCs w:val="22"/>
        </w:rPr>
        <w:lastRenderedPageBreak/>
        <w:t xml:space="preserve">mostraram maior prevalência de anemia em mulheres e Barbosa, Arruda e Diniz (2006) e </w:t>
      </w:r>
      <w:r w:rsidR="00DD7A49" w:rsidRPr="007A577A">
        <w:rPr>
          <w:rFonts w:ascii="Arial" w:hAnsi="Arial" w:cs="Arial"/>
          <w:sz w:val="22"/>
          <w:szCs w:val="22"/>
        </w:rPr>
        <w:t>Costa, Soares</w:t>
      </w:r>
      <w:r w:rsidR="00DD7A49">
        <w:rPr>
          <w:rFonts w:ascii="Arial" w:hAnsi="Arial" w:cs="Arial"/>
          <w:sz w:val="22"/>
          <w:szCs w:val="22"/>
        </w:rPr>
        <w:t xml:space="preserve"> e</w:t>
      </w:r>
      <w:r w:rsidR="00DD7A49" w:rsidRPr="007A577A">
        <w:rPr>
          <w:rFonts w:ascii="Arial" w:hAnsi="Arial" w:cs="Arial"/>
          <w:sz w:val="22"/>
          <w:szCs w:val="22"/>
        </w:rPr>
        <w:t xml:space="preserve"> Oliveira (2016)</w:t>
      </w:r>
      <w:r w:rsidR="00DD7A49">
        <w:rPr>
          <w:rFonts w:ascii="Arial" w:hAnsi="Arial" w:cs="Arial"/>
          <w:sz w:val="22"/>
          <w:szCs w:val="22"/>
        </w:rPr>
        <w:t xml:space="preserve"> nos homens.</w:t>
      </w:r>
    </w:p>
    <w:p w14:paraId="27A44311" w14:textId="77777777" w:rsidR="006E16FF" w:rsidRPr="00FB6249" w:rsidRDefault="00036019" w:rsidP="00014F74">
      <w:pPr>
        <w:pStyle w:val="Default"/>
        <w:spacing w:after="120" w:line="26" w:lineRule="atLeast"/>
        <w:ind w:firstLine="567"/>
        <w:jc w:val="both"/>
        <w:rPr>
          <w:rFonts w:ascii="Arial" w:hAnsi="Arial" w:cs="Arial"/>
          <w:sz w:val="22"/>
          <w:szCs w:val="22"/>
        </w:rPr>
      </w:pPr>
      <w:r>
        <w:rPr>
          <w:rFonts w:ascii="Arial" w:hAnsi="Arial" w:cs="Arial"/>
          <w:sz w:val="22"/>
          <w:szCs w:val="22"/>
        </w:rPr>
        <w:t>F</w:t>
      </w:r>
      <w:r w:rsidR="001032E3" w:rsidRPr="00FB6249">
        <w:rPr>
          <w:rFonts w:ascii="Arial" w:hAnsi="Arial" w:cs="Arial"/>
          <w:sz w:val="22"/>
          <w:szCs w:val="22"/>
        </w:rPr>
        <w:t>atores distintos puderam ser observados quanto à assistência terapêutica ou preventiva da anemia nos idosos: dos que moravam sozinhos ou com a família, observou-se</w:t>
      </w:r>
      <w:r w:rsidR="0039398C">
        <w:rPr>
          <w:rFonts w:ascii="Arial" w:hAnsi="Arial" w:cs="Arial"/>
          <w:sz w:val="22"/>
          <w:szCs w:val="22"/>
        </w:rPr>
        <w:t xml:space="preserve"> que </w:t>
      </w:r>
      <w:r w:rsidR="00014F74" w:rsidRPr="00FB6249">
        <w:rPr>
          <w:rFonts w:ascii="Arial" w:hAnsi="Arial" w:cs="Arial"/>
          <w:sz w:val="22"/>
          <w:szCs w:val="22"/>
        </w:rPr>
        <w:t xml:space="preserve">ter filhos </w:t>
      </w:r>
      <w:r w:rsidR="00F70AC0">
        <w:rPr>
          <w:rFonts w:ascii="Arial" w:hAnsi="Arial" w:cs="Arial"/>
          <w:sz w:val="22"/>
          <w:szCs w:val="22"/>
        </w:rPr>
        <w:t>(</w:t>
      </w:r>
      <w:r w:rsidR="00014F74" w:rsidRPr="00FB6249">
        <w:rPr>
          <w:rFonts w:ascii="Arial" w:hAnsi="Arial" w:cs="Arial"/>
          <w:sz w:val="22"/>
          <w:szCs w:val="22"/>
        </w:rPr>
        <w:t>aumentou a proteção em 85%</w:t>
      </w:r>
      <w:r w:rsidR="00F70AC0">
        <w:rPr>
          <w:rFonts w:ascii="Arial" w:hAnsi="Arial" w:cs="Arial"/>
          <w:sz w:val="22"/>
          <w:szCs w:val="22"/>
        </w:rPr>
        <w:t>)</w:t>
      </w:r>
      <w:r w:rsidR="00014F74">
        <w:rPr>
          <w:rFonts w:ascii="Arial" w:hAnsi="Arial" w:cs="Arial"/>
          <w:sz w:val="22"/>
          <w:szCs w:val="22"/>
        </w:rPr>
        <w:t xml:space="preserve"> e aderir </w:t>
      </w:r>
      <w:r w:rsidR="00014F74" w:rsidRPr="00FB6249">
        <w:rPr>
          <w:rFonts w:ascii="Arial" w:hAnsi="Arial" w:cs="Arial"/>
          <w:sz w:val="22"/>
          <w:szCs w:val="22"/>
        </w:rPr>
        <w:t>aos programas assistenciais e ambulatoriais de saúde como auxílio no controle (BARBOSA; ARRUDA; DINIZ</w:t>
      </w:r>
      <w:r w:rsidR="00014F74">
        <w:rPr>
          <w:rFonts w:ascii="Arial" w:hAnsi="Arial" w:cs="Arial"/>
          <w:sz w:val="22"/>
          <w:szCs w:val="22"/>
        </w:rPr>
        <w:t xml:space="preserve">, 2006; </w:t>
      </w:r>
      <w:r w:rsidR="00014F74" w:rsidRPr="00FB6249">
        <w:rPr>
          <w:rFonts w:ascii="Arial" w:hAnsi="Arial" w:cs="Arial"/>
          <w:sz w:val="22"/>
          <w:szCs w:val="22"/>
        </w:rPr>
        <w:t>CASTELACI et al., 2016).</w:t>
      </w:r>
      <w:r w:rsidR="00014F74">
        <w:rPr>
          <w:rFonts w:ascii="Arial" w:hAnsi="Arial" w:cs="Arial"/>
          <w:sz w:val="22"/>
          <w:szCs w:val="22"/>
        </w:rPr>
        <w:t xml:space="preserve"> Buffon et al. (2015) encontrou maior preval</w:t>
      </w:r>
      <w:r w:rsidR="00E8519D">
        <w:rPr>
          <w:rFonts w:ascii="Arial" w:hAnsi="Arial" w:cs="Arial"/>
          <w:sz w:val="22"/>
          <w:szCs w:val="22"/>
        </w:rPr>
        <w:t xml:space="preserve">ência de anemia na presença de um </w:t>
      </w:r>
      <w:r w:rsidR="00014F74">
        <w:rPr>
          <w:rFonts w:ascii="Arial" w:hAnsi="Arial" w:cs="Arial"/>
          <w:sz w:val="22"/>
          <w:szCs w:val="22"/>
        </w:rPr>
        <w:t>cuidador (</w:t>
      </w:r>
      <w:r w:rsidR="00014F74" w:rsidRPr="00014F74">
        <w:rPr>
          <w:rFonts w:ascii="Arial" w:hAnsi="Arial" w:cs="Arial"/>
          <w:sz w:val="22"/>
          <w:szCs w:val="22"/>
        </w:rPr>
        <w:t>p=0,001</w:t>
      </w:r>
      <w:r w:rsidR="00E8519D">
        <w:rPr>
          <w:rFonts w:ascii="Arial" w:hAnsi="Arial" w:cs="Arial"/>
          <w:sz w:val="22"/>
          <w:szCs w:val="22"/>
        </w:rPr>
        <w:t xml:space="preserve">) referindo como hipótese </w:t>
      </w:r>
      <w:r w:rsidR="0039398C">
        <w:rPr>
          <w:rFonts w:ascii="Arial" w:hAnsi="Arial" w:cs="Arial"/>
          <w:sz w:val="22"/>
          <w:szCs w:val="22"/>
        </w:rPr>
        <w:t>uma saúde debilitada agravada pela presença de</w:t>
      </w:r>
      <w:r w:rsidR="00F70AC0">
        <w:rPr>
          <w:rFonts w:ascii="Arial" w:hAnsi="Arial" w:cs="Arial"/>
          <w:sz w:val="22"/>
          <w:szCs w:val="22"/>
        </w:rPr>
        <w:t xml:space="preserve"> doenças crônicas</w:t>
      </w:r>
      <w:r w:rsidR="00E8519D">
        <w:rPr>
          <w:rFonts w:ascii="Arial" w:hAnsi="Arial" w:cs="Arial"/>
          <w:sz w:val="22"/>
          <w:szCs w:val="22"/>
        </w:rPr>
        <w:t>.</w:t>
      </w:r>
    </w:p>
    <w:p w14:paraId="63ADB4D9" w14:textId="77777777" w:rsidR="009B0E31" w:rsidRPr="00FB6249" w:rsidRDefault="00EA038D" w:rsidP="00BA7AF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Em relação aos idosos residentes em instituições de longa permanência, observou-se que são necessárias intervenções para corrigir ou prevenir deficiências nutricionais, como maior atenç</w:t>
      </w:r>
      <w:r w:rsidR="00263A51" w:rsidRPr="00FB6249">
        <w:rPr>
          <w:rFonts w:ascii="Arial" w:hAnsi="Arial" w:cs="Arial"/>
          <w:sz w:val="22"/>
          <w:szCs w:val="22"/>
        </w:rPr>
        <w:t>ão à composição do</w:t>
      </w:r>
      <w:r w:rsidRPr="00FB6249">
        <w:rPr>
          <w:rFonts w:ascii="Arial" w:hAnsi="Arial" w:cs="Arial"/>
          <w:sz w:val="22"/>
          <w:szCs w:val="22"/>
        </w:rPr>
        <w:t>s cardápios oferecidos e realização de exames</w:t>
      </w:r>
      <w:r w:rsidR="00263A51" w:rsidRPr="00FB6249">
        <w:rPr>
          <w:rFonts w:ascii="Arial" w:hAnsi="Arial" w:cs="Arial"/>
          <w:sz w:val="22"/>
          <w:szCs w:val="22"/>
        </w:rPr>
        <w:t xml:space="preserve"> (MENEZES; </w:t>
      </w:r>
      <w:r w:rsidR="001539F4">
        <w:rPr>
          <w:rFonts w:ascii="Arial" w:eastAsia="Calibri" w:hAnsi="Arial" w:cs="Arial"/>
        </w:rPr>
        <w:t>MARUCCI</w:t>
      </w:r>
      <w:r w:rsidR="00263A51" w:rsidRPr="00FB6249">
        <w:rPr>
          <w:rFonts w:ascii="Arial" w:hAnsi="Arial" w:cs="Arial"/>
          <w:sz w:val="22"/>
          <w:szCs w:val="22"/>
        </w:rPr>
        <w:t>; HOLANDA</w:t>
      </w:r>
      <w:r w:rsidR="005D3C3B" w:rsidRPr="00FB6249">
        <w:rPr>
          <w:rFonts w:ascii="Arial" w:hAnsi="Arial" w:cs="Arial"/>
          <w:sz w:val="22"/>
          <w:szCs w:val="22"/>
        </w:rPr>
        <w:t>,</w:t>
      </w:r>
      <w:r w:rsidR="00263A51" w:rsidRPr="00FB6249">
        <w:rPr>
          <w:rFonts w:ascii="Arial" w:hAnsi="Arial" w:cs="Arial"/>
          <w:sz w:val="22"/>
          <w:szCs w:val="22"/>
        </w:rPr>
        <w:t xml:space="preserve"> 2005).</w:t>
      </w:r>
    </w:p>
    <w:p w14:paraId="19FFC239" w14:textId="1B38BABF" w:rsidR="00D816D3" w:rsidRDefault="007E2079" w:rsidP="00D816D3">
      <w:pPr>
        <w:pStyle w:val="Default"/>
        <w:spacing w:after="120" w:line="26" w:lineRule="atLeast"/>
        <w:ind w:firstLine="567"/>
        <w:jc w:val="both"/>
        <w:rPr>
          <w:rFonts w:ascii="Arial" w:hAnsi="Arial" w:cs="Arial"/>
          <w:sz w:val="22"/>
          <w:szCs w:val="22"/>
        </w:rPr>
      </w:pPr>
      <w:r w:rsidRPr="00FB6249">
        <w:rPr>
          <w:rFonts w:ascii="Arial" w:hAnsi="Arial" w:cs="Arial"/>
          <w:sz w:val="22"/>
          <w:szCs w:val="22"/>
        </w:rPr>
        <w:t xml:space="preserve">Bosco et al. (2013) ressaltam que, frente </w:t>
      </w:r>
      <w:r w:rsidR="00252829">
        <w:rPr>
          <w:rFonts w:ascii="Arial" w:hAnsi="Arial" w:cs="Arial"/>
          <w:sz w:val="22"/>
          <w:szCs w:val="22"/>
        </w:rPr>
        <w:t>a</w:t>
      </w:r>
      <w:r w:rsidRPr="00FB6249">
        <w:rPr>
          <w:rFonts w:ascii="Arial" w:hAnsi="Arial" w:cs="Arial"/>
          <w:sz w:val="22"/>
          <w:szCs w:val="22"/>
        </w:rPr>
        <w:t xml:space="preserve"> hospitalizações</w:t>
      </w:r>
      <w:r w:rsidR="00036019">
        <w:rPr>
          <w:rFonts w:ascii="Arial" w:hAnsi="Arial" w:cs="Arial"/>
          <w:sz w:val="22"/>
          <w:szCs w:val="22"/>
        </w:rPr>
        <w:t xml:space="preserve"> em que</w:t>
      </w:r>
      <w:r w:rsidRPr="00FB6249">
        <w:rPr>
          <w:rFonts w:ascii="Arial" w:hAnsi="Arial" w:cs="Arial"/>
          <w:sz w:val="22"/>
          <w:szCs w:val="22"/>
        </w:rPr>
        <w:t xml:space="preserve"> a medi</w:t>
      </w:r>
      <w:r w:rsidR="009472FE">
        <w:rPr>
          <w:rFonts w:ascii="Arial" w:hAnsi="Arial" w:cs="Arial"/>
          <w:sz w:val="22"/>
          <w:szCs w:val="22"/>
        </w:rPr>
        <w:t>ção</w:t>
      </w:r>
      <w:r w:rsidRPr="00FB6249">
        <w:rPr>
          <w:rFonts w:ascii="Arial" w:hAnsi="Arial" w:cs="Arial"/>
          <w:sz w:val="22"/>
          <w:szCs w:val="22"/>
        </w:rPr>
        <w:t xml:space="preserve"> dos níveis de hemoglobina é rotineira, a presença de anemia pode ser usada como marcador importante do risco de declínio funcional, assim como impactar em taxas maiores de mortalidade e instabilidade clínica se cursado com outras comorbidades</w:t>
      </w:r>
      <w:r w:rsidR="00036019">
        <w:rPr>
          <w:rFonts w:ascii="Arial" w:hAnsi="Arial" w:cs="Arial"/>
          <w:sz w:val="22"/>
          <w:szCs w:val="22"/>
        </w:rPr>
        <w:t xml:space="preserve">, como </w:t>
      </w:r>
      <w:r w:rsidR="00036019" w:rsidRPr="00FB6249">
        <w:rPr>
          <w:rFonts w:ascii="Arial" w:hAnsi="Arial" w:cs="Arial"/>
          <w:sz w:val="22"/>
          <w:szCs w:val="22"/>
        </w:rPr>
        <w:t>diabetes mellitus, hipertensão arterial sistêmica e doença da tireoide e fraqueza</w:t>
      </w:r>
      <w:r w:rsidR="00431621">
        <w:rPr>
          <w:rFonts w:ascii="Arial" w:hAnsi="Arial" w:cs="Arial"/>
          <w:sz w:val="22"/>
          <w:szCs w:val="22"/>
        </w:rPr>
        <w:t>.</w:t>
      </w:r>
    </w:p>
    <w:p w14:paraId="03CAD2F0" w14:textId="13F50BC9" w:rsidR="000D1BEF" w:rsidRDefault="003B16C5" w:rsidP="00D816D3">
      <w:pPr>
        <w:pStyle w:val="Default"/>
        <w:spacing w:after="120" w:line="26" w:lineRule="atLeast"/>
        <w:ind w:firstLine="567"/>
        <w:jc w:val="both"/>
        <w:rPr>
          <w:rFonts w:ascii="Arial" w:hAnsi="Arial" w:cs="Arial"/>
          <w:sz w:val="22"/>
          <w:szCs w:val="22"/>
        </w:rPr>
      </w:pPr>
      <w:r>
        <w:rPr>
          <w:rFonts w:ascii="Arial" w:hAnsi="Arial" w:cs="Arial"/>
          <w:sz w:val="22"/>
          <w:szCs w:val="22"/>
        </w:rPr>
        <w:t>No que se refere à polifarmácia,</w:t>
      </w:r>
      <w:r w:rsidR="00252829">
        <w:rPr>
          <w:rFonts w:ascii="Arial" w:hAnsi="Arial" w:cs="Arial"/>
          <w:sz w:val="22"/>
          <w:szCs w:val="22"/>
        </w:rPr>
        <w:t xml:space="preserve"> </w:t>
      </w:r>
      <w:r w:rsidR="00884C97">
        <w:rPr>
          <w:rFonts w:ascii="Arial" w:hAnsi="Arial" w:cs="Arial"/>
          <w:sz w:val="22"/>
          <w:szCs w:val="22"/>
        </w:rPr>
        <w:t xml:space="preserve">Milagres et al. (2015) reforça que </w:t>
      </w:r>
      <w:r w:rsidR="00DE662F" w:rsidRPr="00FB6249">
        <w:rPr>
          <w:rFonts w:ascii="Arial" w:hAnsi="Arial" w:cs="Arial"/>
          <w:sz w:val="22"/>
          <w:szCs w:val="22"/>
        </w:rPr>
        <w:t>se trata</w:t>
      </w:r>
      <w:r w:rsidR="00F574E1" w:rsidRPr="00FB6249">
        <w:rPr>
          <w:rFonts w:ascii="Arial" w:hAnsi="Arial" w:cs="Arial"/>
          <w:sz w:val="22"/>
          <w:szCs w:val="22"/>
        </w:rPr>
        <w:t xml:space="preserve"> de uma questão que deve ser avaliada pela equipe médica e nutricional para melhor manejo e para evitar interações medicamentosas.</w:t>
      </w:r>
    </w:p>
    <w:p w14:paraId="170AE694" w14:textId="719EC631" w:rsidR="007E0AAC" w:rsidRPr="00FB6249" w:rsidRDefault="0036545B" w:rsidP="006C369D">
      <w:pPr>
        <w:spacing w:after="120" w:line="26" w:lineRule="atLeast"/>
        <w:ind w:firstLine="567"/>
        <w:jc w:val="both"/>
        <w:rPr>
          <w:rFonts w:ascii="Arial" w:hAnsi="Arial" w:cs="Arial"/>
        </w:rPr>
      </w:pPr>
      <w:r>
        <w:rPr>
          <w:rFonts w:ascii="Arial" w:hAnsi="Arial" w:cs="Arial"/>
        </w:rPr>
        <w:t>Houve destaque para a c</w:t>
      </w:r>
      <w:r w:rsidR="00BC2FF2" w:rsidRPr="00FB6249">
        <w:rPr>
          <w:rFonts w:ascii="Arial" w:hAnsi="Arial" w:cs="Arial"/>
        </w:rPr>
        <w:t>apacidade funcional e física</w:t>
      </w:r>
      <w:r>
        <w:rPr>
          <w:rFonts w:ascii="Arial" w:hAnsi="Arial" w:cs="Arial"/>
        </w:rPr>
        <w:t xml:space="preserve"> dos idosos, uma vez que foi descrito que as</w:t>
      </w:r>
      <w:r w:rsidR="00BC2FF2" w:rsidRPr="00FB6249">
        <w:rPr>
          <w:rFonts w:ascii="Arial" w:hAnsi="Arial" w:cs="Arial"/>
        </w:rPr>
        <w:t xml:space="preserve"> mulheres eram duas vezes mais vulneráveis ​​a um declínio no desempenho funcional</w:t>
      </w:r>
      <w:r w:rsidR="00793B84">
        <w:rPr>
          <w:rFonts w:ascii="Arial" w:hAnsi="Arial" w:cs="Arial"/>
        </w:rPr>
        <w:t xml:space="preserve"> do que os homens</w:t>
      </w:r>
      <w:r w:rsidR="00873F80">
        <w:rPr>
          <w:rFonts w:ascii="Arial" w:hAnsi="Arial" w:cs="Arial"/>
        </w:rPr>
        <w:t xml:space="preserve"> (</w:t>
      </w:r>
      <w:r w:rsidR="00873F80" w:rsidRPr="00FB6249">
        <w:rPr>
          <w:rFonts w:ascii="Arial" w:hAnsi="Arial" w:cs="Arial"/>
        </w:rPr>
        <w:t xml:space="preserve">BOSCO </w:t>
      </w:r>
      <w:r w:rsidR="00873F80">
        <w:rPr>
          <w:rFonts w:ascii="Arial" w:hAnsi="Arial" w:cs="Arial"/>
        </w:rPr>
        <w:t xml:space="preserve">et al. 2013; </w:t>
      </w:r>
      <w:r w:rsidR="00873F80" w:rsidRPr="00FB6249">
        <w:rPr>
          <w:rFonts w:ascii="Arial" w:hAnsi="Arial" w:cs="Arial"/>
        </w:rPr>
        <w:t xml:space="preserve">MILAGRES </w:t>
      </w:r>
      <w:r w:rsidR="00873F80">
        <w:rPr>
          <w:rFonts w:ascii="Arial" w:hAnsi="Arial" w:cs="Arial"/>
        </w:rPr>
        <w:t xml:space="preserve">et al. </w:t>
      </w:r>
      <w:r w:rsidR="00873F80" w:rsidRPr="00FB6249">
        <w:rPr>
          <w:rFonts w:ascii="Arial" w:hAnsi="Arial" w:cs="Arial"/>
        </w:rPr>
        <w:t>20</w:t>
      </w:r>
      <w:r w:rsidR="00873F80">
        <w:rPr>
          <w:rFonts w:ascii="Arial" w:hAnsi="Arial" w:cs="Arial"/>
        </w:rPr>
        <w:t>15)</w:t>
      </w:r>
      <w:r w:rsidR="00793B84">
        <w:rPr>
          <w:rFonts w:ascii="Arial" w:hAnsi="Arial" w:cs="Arial"/>
        </w:rPr>
        <w:t>.</w:t>
      </w:r>
      <w:r w:rsidR="00165679">
        <w:rPr>
          <w:rFonts w:ascii="Arial" w:hAnsi="Arial" w:cs="Arial"/>
        </w:rPr>
        <w:t xml:space="preserve"> Em estudo feito </w:t>
      </w:r>
      <w:r w:rsidR="006E1364">
        <w:rPr>
          <w:rFonts w:ascii="Arial" w:hAnsi="Arial" w:cs="Arial"/>
        </w:rPr>
        <w:t xml:space="preserve">na Itália por </w:t>
      </w:r>
      <w:r w:rsidR="006E1364" w:rsidRPr="00FB6249">
        <w:rPr>
          <w:rFonts w:ascii="Arial" w:hAnsi="Arial" w:cs="Arial"/>
        </w:rPr>
        <w:t>Penninx et al. (2004)</w:t>
      </w:r>
      <w:r w:rsidR="006E1364">
        <w:rPr>
          <w:rFonts w:ascii="Arial" w:hAnsi="Arial" w:cs="Arial"/>
        </w:rPr>
        <w:t xml:space="preserve">, também </w:t>
      </w:r>
      <w:r w:rsidR="00586AEA">
        <w:rPr>
          <w:rFonts w:ascii="Arial" w:hAnsi="Arial" w:cs="Arial"/>
        </w:rPr>
        <w:t xml:space="preserve">se </w:t>
      </w:r>
      <w:r w:rsidR="00793B84">
        <w:rPr>
          <w:rFonts w:ascii="Arial" w:hAnsi="Arial" w:cs="Arial"/>
        </w:rPr>
        <w:t>destaca</w:t>
      </w:r>
      <w:r w:rsidR="006E1364">
        <w:rPr>
          <w:rFonts w:ascii="Arial" w:hAnsi="Arial" w:cs="Arial"/>
        </w:rPr>
        <w:t xml:space="preserve">ram nos resultados </w:t>
      </w:r>
      <w:r w:rsidR="00793B84">
        <w:rPr>
          <w:rFonts w:ascii="Arial" w:hAnsi="Arial" w:cs="Arial"/>
        </w:rPr>
        <w:t xml:space="preserve">a </w:t>
      </w:r>
      <w:r w:rsidR="00165679" w:rsidRPr="00FB6249">
        <w:rPr>
          <w:rFonts w:ascii="Arial" w:hAnsi="Arial" w:cs="Arial"/>
        </w:rPr>
        <w:t xml:space="preserve">diminuição da </w:t>
      </w:r>
      <w:r w:rsidR="00165679" w:rsidRPr="00FB6249">
        <w:rPr>
          <w:rFonts w:ascii="Arial" w:hAnsi="Arial" w:cs="Arial"/>
          <w:i/>
        </w:rPr>
        <w:t>performance</w:t>
      </w:r>
      <w:r w:rsidR="00165679" w:rsidRPr="00FB6249">
        <w:rPr>
          <w:rFonts w:ascii="Arial" w:hAnsi="Arial" w:cs="Arial"/>
        </w:rPr>
        <w:t xml:space="preserve"> física e força</w:t>
      </w:r>
      <w:r w:rsidR="006E1364">
        <w:rPr>
          <w:rFonts w:ascii="Arial" w:hAnsi="Arial" w:cs="Arial"/>
        </w:rPr>
        <w:t>.</w:t>
      </w:r>
    </w:p>
    <w:p w14:paraId="183C87BF" w14:textId="1C58BD22" w:rsidR="00BB3C0B" w:rsidRDefault="009C26CD" w:rsidP="00150B11">
      <w:pPr>
        <w:pStyle w:val="Default"/>
        <w:spacing w:after="120" w:line="26" w:lineRule="atLeast"/>
        <w:ind w:firstLine="567"/>
        <w:jc w:val="both"/>
        <w:rPr>
          <w:rFonts w:ascii="Arial" w:hAnsi="Arial" w:cs="Arial"/>
          <w:sz w:val="22"/>
          <w:szCs w:val="22"/>
        </w:rPr>
      </w:pPr>
      <w:r>
        <w:rPr>
          <w:rFonts w:ascii="Arial" w:hAnsi="Arial" w:cs="Arial"/>
          <w:sz w:val="22"/>
          <w:szCs w:val="22"/>
        </w:rPr>
        <w:t xml:space="preserve">Apesar de o Sistema </w:t>
      </w:r>
      <w:r w:rsidR="00401F29">
        <w:rPr>
          <w:rFonts w:ascii="Arial" w:hAnsi="Arial" w:cs="Arial"/>
          <w:sz w:val="22"/>
          <w:szCs w:val="22"/>
        </w:rPr>
        <w:t xml:space="preserve">Único </w:t>
      </w:r>
      <w:r>
        <w:rPr>
          <w:rFonts w:ascii="Arial" w:hAnsi="Arial" w:cs="Arial"/>
          <w:sz w:val="22"/>
          <w:szCs w:val="22"/>
        </w:rPr>
        <w:t xml:space="preserve">de </w:t>
      </w:r>
      <w:r w:rsidR="00401F29">
        <w:rPr>
          <w:rFonts w:ascii="Arial" w:hAnsi="Arial" w:cs="Arial"/>
          <w:sz w:val="22"/>
          <w:szCs w:val="22"/>
        </w:rPr>
        <w:t xml:space="preserve">Saúde (SUS) oferecer suplementação quando diagnosticada anemia ferropriva, </w:t>
      </w:r>
      <w:r w:rsidR="0024349B">
        <w:rPr>
          <w:rFonts w:ascii="Arial" w:hAnsi="Arial" w:cs="Arial"/>
          <w:sz w:val="22"/>
          <w:szCs w:val="22"/>
        </w:rPr>
        <w:t xml:space="preserve">o </w:t>
      </w:r>
      <w:r w:rsidR="0024349B" w:rsidRPr="00B82445">
        <w:rPr>
          <w:rFonts w:ascii="Arial" w:hAnsi="Arial" w:cs="Arial"/>
          <w:sz w:val="22"/>
          <w:szCs w:val="22"/>
        </w:rPr>
        <w:t>Programa Nacional de Suplementação de Ferro</w:t>
      </w:r>
      <w:r w:rsidR="00401F29">
        <w:rPr>
          <w:rFonts w:ascii="Arial" w:hAnsi="Arial" w:cs="Arial"/>
          <w:sz w:val="22"/>
          <w:szCs w:val="22"/>
        </w:rPr>
        <w:t xml:space="preserve"> n</w:t>
      </w:r>
      <w:r w:rsidR="0024349B">
        <w:rPr>
          <w:rFonts w:ascii="Arial" w:hAnsi="Arial" w:cs="Arial"/>
          <w:sz w:val="22"/>
          <w:szCs w:val="22"/>
        </w:rPr>
        <w:t>ão engloba os idosos</w:t>
      </w:r>
      <w:r w:rsidR="002B411A">
        <w:rPr>
          <w:rFonts w:ascii="Arial" w:hAnsi="Arial" w:cs="Arial"/>
          <w:sz w:val="22"/>
          <w:szCs w:val="22"/>
        </w:rPr>
        <w:t xml:space="preserve"> como forma de profilaxia</w:t>
      </w:r>
      <w:r w:rsidR="0024349B">
        <w:rPr>
          <w:rFonts w:ascii="Arial" w:hAnsi="Arial" w:cs="Arial"/>
          <w:sz w:val="22"/>
          <w:szCs w:val="22"/>
        </w:rPr>
        <w:t xml:space="preserve">, </w:t>
      </w:r>
      <w:r w:rsidR="002B411A">
        <w:rPr>
          <w:rFonts w:ascii="Arial" w:hAnsi="Arial" w:cs="Arial"/>
          <w:sz w:val="22"/>
          <w:szCs w:val="22"/>
        </w:rPr>
        <w:t xml:space="preserve">mas </w:t>
      </w:r>
      <w:r w:rsidR="0024349B">
        <w:rPr>
          <w:rFonts w:ascii="Arial" w:hAnsi="Arial" w:cs="Arial"/>
          <w:sz w:val="22"/>
          <w:szCs w:val="22"/>
        </w:rPr>
        <w:t xml:space="preserve">apenas </w:t>
      </w:r>
      <w:r w:rsidR="00B82445" w:rsidRPr="00B82445">
        <w:rPr>
          <w:rFonts w:ascii="Arial" w:hAnsi="Arial" w:cs="Arial"/>
          <w:sz w:val="22"/>
          <w:szCs w:val="22"/>
        </w:rPr>
        <w:t>crianças de 6 a 24 meses, gestantes e puérperas</w:t>
      </w:r>
      <w:r w:rsidR="00F122D7">
        <w:rPr>
          <w:rFonts w:ascii="Arial" w:hAnsi="Arial" w:cs="Arial"/>
          <w:sz w:val="22"/>
          <w:szCs w:val="22"/>
        </w:rPr>
        <w:t xml:space="preserve"> (BRASIL, 2013)</w:t>
      </w:r>
      <w:r w:rsidR="000713A5">
        <w:rPr>
          <w:rFonts w:ascii="Arial" w:hAnsi="Arial" w:cs="Arial"/>
          <w:sz w:val="22"/>
          <w:szCs w:val="22"/>
        </w:rPr>
        <w:t>.</w:t>
      </w:r>
      <w:r w:rsidR="00604E00">
        <w:rPr>
          <w:rFonts w:ascii="Arial" w:hAnsi="Arial" w:cs="Arial"/>
          <w:sz w:val="22"/>
          <w:szCs w:val="22"/>
        </w:rPr>
        <w:t xml:space="preserve"> </w:t>
      </w:r>
      <w:r w:rsidR="00252829">
        <w:rPr>
          <w:rFonts w:ascii="Arial" w:hAnsi="Arial" w:cs="Arial"/>
          <w:sz w:val="22"/>
          <w:szCs w:val="22"/>
        </w:rPr>
        <w:t>No entanto</w:t>
      </w:r>
      <w:r w:rsidR="002B411A">
        <w:rPr>
          <w:rFonts w:ascii="Arial" w:hAnsi="Arial" w:cs="Arial"/>
          <w:sz w:val="22"/>
          <w:szCs w:val="22"/>
        </w:rPr>
        <w:t>,</w:t>
      </w:r>
      <w:r w:rsidR="00252829">
        <w:rPr>
          <w:rFonts w:ascii="Arial" w:hAnsi="Arial" w:cs="Arial"/>
          <w:sz w:val="22"/>
          <w:szCs w:val="22"/>
        </w:rPr>
        <w:t xml:space="preserve"> </w:t>
      </w:r>
      <w:r w:rsidR="002B411A">
        <w:rPr>
          <w:rFonts w:ascii="Arial" w:hAnsi="Arial" w:cs="Arial"/>
          <w:sz w:val="22"/>
          <w:szCs w:val="22"/>
        </w:rPr>
        <w:t>seria viável</w:t>
      </w:r>
      <w:r w:rsidR="000713A5">
        <w:rPr>
          <w:rFonts w:ascii="Arial" w:hAnsi="Arial" w:cs="Arial"/>
          <w:sz w:val="22"/>
          <w:szCs w:val="22"/>
        </w:rPr>
        <w:t xml:space="preserve"> a inserção desse grupo </w:t>
      </w:r>
      <w:r w:rsidR="002B411A">
        <w:rPr>
          <w:rFonts w:ascii="Arial" w:hAnsi="Arial" w:cs="Arial"/>
          <w:sz w:val="22"/>
          <w:szCs w:val="22"/>
        </w:rPr>
        <w:t>devido</w:t>
      </w:r>
      <w:r w:rsidR="00252829">
        <w:rPr>
          <w:rFonts w:ascii="Arial" w:hAnsi="Arial" w:cs="Arial"/>
          <w:sz w:val="22"/>
          <w:szCs w:val="22"/>
        </w:rPr>
        <w:t xml:space="preserve"> </w:t>
      </w:r>
      <w:r w:rsidR="002B411A">
        <w:rPr>
          <w:rFonts w:ascii="Arial" w:hAnsi="Arial" w:cs="Arial"/>
          <w:sz w:val="22"/>
          <w:szCs w:val="22"/>
        </w:rPr>
        <w:t xml:space="preserve">à alta </w:t>
      </w:r>
      <w:r w:rsidR="00401F29">
        <w:rPr>
          <w:rFonts w:ascii="Arial" w:hAnsi="Arial" w:cs="Arial"/>
          <w:sz w:val="22"/>
          <w:szCs w:val="22"/>
        </w:rPr>
        <w:t xml:space="preserve">prevalência e </w:t>
      </w:r>
      <w:r w:rsidR="002B411A">
        <w:rPr>
          <w:rFonts w:ascii="Arial" w:hAnsi="Arial" w:cs="Arial"/>
          <w:sz w:val="22"/>
          <w:szCs w:val="22"/>
        </w:rPr>
        <w:t xml:space="preserve">ao </w:t>
      </w:r>
      <w:r w:rsidR="00401F29">
        <w:rPr>
          <w:rFonts w:ascii="Arial" w:hAnsi="Arial" w:cs="Arial"/>
          <w:sz w:val="22"/>
          <w:szCs w:val="22"/>
        </w:rPr>
        <w:t>aumento da população idosa</w:t>
      </w:r>
      <w:r w:rsidR="000713A5">
        <w:rPr>
          <w:rFonts w:ascii="Arial" w:hAnsi="Arial" w:cs="Arial"/>
          <w:sz w:val="22"/>
          <w:szCs w:val="22"/>
        </w:rPr>
        <w:t xml:space="preserve"> no país</w:t>
      </w:r>
      <w:r w:rsidR="00AB79CB">
        <w:rPr>
          <w:rFonts w:ascii="Arial" w:hAnsi="Arial" w:cs="Arial"/>
          <w:sz w:val="22"/>
          <w:szCs w:val="22"/>
        </w:rPr>
        <w:t xml:space="preserve">. </w:t>
      </w:r>
      <w:r w:rsidR="00150B11">
        <w:rPr>
          <w:rFonts w:ascii="Arial" w:hAnsi="Arial" w:cs="Arial"/>
          <w:sz w:val="22"/>
          <w:szCs w:val="22"/>
        </w:rPr>
        <w:t xml:space="preserve">Ademais, essa pauta de discussão deve englobar os efeitos </w:t>
      </w:r>
      <w:r w:rsidR="0055705F">
        <w:rPr>
          <w:rFonts w:ascii="Arial" w:hAnsi="Arial" w:cs="Arial"/>
          <w:sz w:val="22"/>
          <w:szCs w:val="22"/>
        </w:rPr>
        <w:t>adversos</w:t>
      </w:r>
      <w:r w:rsidR="00150B11">
        <w:rPr>
          <w:rFonts w:ascii="Arial" w:hAnsi="Arial" w:cs="Arial"/>
          <w:sz w:val="22"/>
          <w:szCs w:val="22"/>
        </w:rPr>
        <w:t xml:space="preserve"> advindos do uso do sulfato ferroso como suplemento que podem impactar na adesão ao tratamento, como </w:t>
      </w:r>
      <w:r w:rsidR="00150B11" w:rsidRPr="00150B11">
        <w:rPr>
          <w:rFonts w:ascii="Arial" w:hAnsi="Arial" w:cs="Arial"/>
          <w:sz w:val="22"/>
          <w:szCs w:val="22"/>
        </w:rPr>
        <w:t>náuseas, vômitos, epigastralgia, dispepsia, desconforto abdominal, diarreia, obstipação</w:t>
      </w:r>
      <w:r w:rsidR="00150B11">
        <w:rPr>
          <w:rFonts w:ascii="Arial" w:hAnsi="Arial" w:cs="Arial"/>
          <w:sz w:val="22"/>
          <w:szCs w:val="22"/>
        </w:rPr>
        <w:t>, visando adequar os medicamentos à tolerância do público a que se direciona o tratamento para maior eficácia e efetividade</w:t>
      </w:r>
      <w:r w:rsidR="00697CB4">
        <w:rPr>
          <w:rFonts w:ascii="Arial" w:hAnsi="Arial" w:cs="Arial"/>
          <w:sz w:val="22"/>
          <w:szCs w:val="22"/>
        </w:rPr>
        <w:t xml:space="preserve"> (CANÇADO, 2009)</w:t>
      </w:r>
      <w:r w:rsidR="00150B11">
        <w:rPr>
          <w:rFonts w:ascii="Arial" w:hAnsi="Arial" w:cs="Arial"/>
          <w:sz w:val="22"/>
          <w:szCs w:val="22"/>
        </w:rPr>
        <w:t>.</w:t>
      </w:r>
    </w:p>
    <w:p w14:paraId="653064E7" w14:textId="14A732F9" w:rsidR="009C26CD" w:rsidRDefault="000A09AB">
      <w:pPr>
        <w:pStyle w:val="Default"/>
        <w:spacing w:after="120" w:line="26" w:lineRule="atLeast"/>
        <w:ind w:firstLine="567"/>
        <w:jc w:val="both"/>
        <w:rPr>
          <w:rFonts w:ascii="Arial" w:hAnsi="Arial" w:cs="Arial"/>
          <w:sz w:val="22"/>
          <w:szCs w:val="22"/>
        </w:rPr>
      </w:pPr>
      <w:r>
        <w:rPr>
          <w:rFonts w:ascii="Arial" w:hAnsi="Arial" w:cs="Arial"/>
          <w:sz w:val="22"/>
          <w:szCs w:val="22"/>
        </w:rPr>
        <w:t>De tal forma, maior atenção deve ser dada pelo governo, por profissionais da área da saúde, familiares e instituições de longa permanência quanto à prevenção, diagnóstico e tratamento da anemia, uma vez que ela aparece como fator de risco independente para a morbidade e mortalidade, mesmo com a associação de outros fatores (CORONA; DUARTE; LEBRÃO, 2014; COSTA; SOARES; OLIVEIRA, 2016; LAUDICINA, 2008; LIPSCHITZ, 2003).</w:t>
      </w:r>
    </w:p>
    <w:p w14:paraId="0C9BECCE" w14:textId="77777777" w:rsidR="006055E3" w:rsidRPr="00272C73" w:rsidRDefault="006055E3" w:rsidP="00272C73">
      <w:pPr>
        <w:pStyle w:val="Default"/>
        <w:spacing w:after="120" w:line="26" w:lineRule="atLeast"/>
        <w:ind w:firstLine="567"/>
        <w:jc w:val="both"/>
        <w:rPr>
          <w:rFonts w:ascii="Arial" w:hAnsi="Arial" w:cs="Arial"/>
          <w:sz w:val="22"/>
          <w:szCs w:val="22"/>
        </w:rPr>
      </w:pPr>
    </w:p>
    <w:p w14:paraId="54D84A1D" w14:textId="77777777" w:rsidR="00F02E0C" w:rsidRPr="006055E3" w:rsidRDefault="006B7B22" w:rsidP="006055E3">
      <w:pPr>
        <w:pStyle w:val="Ttulo1"/>
        <w:numPr>
          <w:ilvl w:val="0"/>
          <w:numId w:val="11"/>
        </w:numPr>
        <w:spacing w:before="0" w:after="120" w:line="26" w:lineRule="atLeast"/>
        <w:rPr>
          <w:rFonts w:ascii="Arial" w:hAnsi="Arial" w:cs="Arial"/>
          <w:b/>
          <w:color w:val="auto"/>
          <w:sz w:val="22"/>
          <w:szCs w:val="22"/>
        </w:rPr>
      </w:pPr>
      <w:r w:rsidRPr="00816D45">
        <w:rPr>
          <w:rFonts w:ascii="Arial" w:hAnsi="Arial" w:cs="Arial"/>
          <w:b/>
          <w:color w:val="auto"/>
          <w:sz w:val="22"/>
          <w:szCs w:val="22"/>
        </w:rPr>
        <w:t>CONCLUSÃO</w:t>
      </w:r>
    </w:p>
    <w:p w14:paraId="6C75D6B5" w14:textId="77777777" w:rsidR="00EB1F19" w:rsidRDefault="00EB1F19" w:rsidP="00816D45">
      <w:pPr>
        <w:spacing w:line="26" w:lineRule="atLeast"/>
        <w:ind w:firstLine="567"/>
        <w:jc w:val="both"/>
        <w:rPr>
          <w:rFonts w:ascii="Arial" w:hAnsi="Arial" w:cs="Arial"/>
        </w:rPr>
      </w:pPr>
    </w:p>
    <w:p w14:paraId="08A02BFB" w14:textId="5CDBA88E" w:rsidR="00F02E0C" w:rsidRDefault="00F02E0C" w:rsidP="00816D45">
      <w:pPr>
        <w:spacing w:line="26" w:lineRule="atLeast"/>
        <w:ind w:firstLine="567"/>
        <w:jc w:val="both"/>
        <w:rPr>
          <w:rFonts w:ascii="Arial" w:hAnsi="Arial" w:cs="Arial"/>
        </w:rPr>
      </w:pPr>
      <w:r>
        <w:rPr>
          <w:rFonts w:ascii="Arial" w:hAnsi="Arial" w:cs="Arial"/>
        </w:rPr>
        <w:t>A</w:t>
      </w:r>
      <w:r w:rsidR="00E32A9E">
        <w:rPr>
          <w:rFonts w:ascii="Arial" w:hAnsi="Arial" w:cs="Arial"/>
        </w:rPr>
        <w:t xml:space="preserve"> anemia é um fator que pode levar a morbimortalidade em idosos</w:t>
      </w:r>
      <w:r>
        <w:rPr>
          <w:rFonts w:ascii="Arial" w:hAnsi="Arial" w:cs="Arial"/>
        </w:rPr>
        <w:t xml:space="preserve"> e </w:t>
      </w:r>
      <w:r w:rsidR="00816D45">
        <w:rPr>
          <w:rFonts w:ascii="Arial" w:hAnsi="Arial" w:cs="Arial"/>
        </w:rPr>
        <w:t xml:space="preserve">os estudos mostraram </w:t>
      </w:r>
      <w:r w:rsidR="00E32A9E">
        <w:rPr>
          <w:rFonts w:ascii="Arial" w:hAnsi="Arial" w:cs="Arial"/>
        </w:rPr>
        <w:t xml:space="preserve">um panorama geral da situação dos idosos em relação à anemia ferropriva no Brasil, </w:t>
      </w:r>
      <w:r>
        <w:rPr>
          <w:rFonts w:ascii="Arial" w:hAnsi="Arial" w:cs="Arial"/>
        </w:rPr>
        <w:t xml:space="preserve">que apesar das políticas públicas vigentes, ainda </w:t>
      </w:r>
      <w:r w:rsidR="00EB1F19">
        <w:rPr>
          <w:rFonts w:ascii="Arial" w:hAnsi="Arial" w:cs="Arial"/>
        </w:rPr>
        <w:t xml:space="preserve">se </w:t>
      </w:r>
      <w:r>
        <w:rPr>
          <w:rFonts w:ascii="Arial" w:hAnsi="Arial" w:cs="Arial"/>
        </w:rPr>
        <w:t xml:space="preserve">apresenta persistente nesse grupo vulnerável. </w:t>
      </w:r>
    </w:p>
    <w:p w14:paraId="03C3EFD0" w14:textId="05716972" w:rsidR="00AD011B" w:rsidRDefault="00793B84" w:rsidP="00DE662F">
      <w:pPr>
        <w:rPr>
          <w:rFonts w:ascii="Arial" w:hAnsi="Arial" w:cs="Arial"/>
        </w:rPr>
      </w:pPr>
      <w:r>
        <w:rPr>
          <w:rFonts w:ascii="Arial" w:hAnsi="Arial" w:cs="Arial"/>
        </w:rPr>
        <w:lastRenderedPageBreak/>
        <w:t>F</w:t>
      </w:r>
      <w:r w:rsidR="00F02E0C">
        <w:rPr>
          <w:rFonts w:ascii="Arial" w:hAnsi="Arial" w:cs="Arial"/>
        </w:rPr>
        <w:t xml:space="preserve">oi possível </w:t>
      </w:r>
      <w:r w:rsidR="008521D6">
        <w:rPr>
          <w:rFonts w:ascii="Arial" w:hAnsi="Arial" w:cs="Arial"/>
        </w:rPr>
        <w:t>descrever</w:t>
      </w:r>
      <w:r w:rsidR="00F02E0C">
        <w:rPr>
          <w:rFonts w:ascii="Arial" w:hAnsi="Arial" w:cs="Arial"/>
        </w:rPr>
        <w:t xml:space="preserve"> possíveis relações tanto em sua manutenção quanto em sua etiologia, como no maior nível de hemoglobina encontrado em idosos mais jovens, assim como fatores que podem ser relevantes e necessita</w:t>
      </w:r>
      <w:r w:rsidR="00F07C88">
        <w:rPr>
          <w:rFonts w:ascii="Arial" w:hAnsi="Arial" w:cs="Arial"/>
        </w:rPr>
        <w:t>r</w:t>
      </w:r>
      <w:r w:rsidR="00F02E0C">
        <w:rPr>
          <w:rFonts w:ascii="Arial" w:hAnsi="Arial" w:cs="Arial"/>
        </w:rPr>
        <w:t xml:space="preserve"> </w:t>
      </w:r>
      <w:r w:rsidR="00F07C88">
        <w:rPr>
          <w:rFonts w:ascii="Arial" w:hAnsi="Arial" w:cs="Arial"/>
        </w:rPr>
        <w:t xml:space="preserve">de </w:t>
      </w:r>
      <w:r w:rsidR="00F02E0C">
        <w:rPr>
          <w:rFonts w:ascii="Arial" w:hAnsi="Arial" w:cs="Arial"/>
        </w:rPr>
        <w:t>mais estudos</w:t>
      </w:r>
      <w:r w:rsidR="00F07C88">
        <w:rPr>
          <w:rFonts w:ascii="Arial" w:hAnsi="Arial" w:cs="Arial"/>
        </w:rPr>
        <w:t>,</w:t>
      </w:r>
      <w:r w:rsidR="00F02E0C">
        <w:rPr>
          <w:rFonts w:ascii="Arial" w:hAnsi="Arial" w:cs="Arial"/>
        </w:rPr>
        <w:t xml:space="preserve"> como a escolaridade, renda socioeconômica, baixo consum</w:t>
      </w:r>
      <w:r>
        <w:rPr>
          <w:rFonts w:ascii="Arial" w:hAnsi="Arial" w:cs="Arial"/>
        </w:rPr>
        <w:t>o de proteínas e elevada ingestão</w:t>
      </w:r>
      <w:r w:rsidR="00F02E0C">
        <w:rPr>
          <w:rFonts w:ascii="Arial" w:hAnsi="Arial" w:cs="Arial"/>
        </w:rPr>
        <w:t xml:space="preserve"> de gorduras</w:t>
      </w:r>
      <w:r w:rsidR="0044122B">
        <w:rPr>
          <w:rFonts w:ascii="Arial" w:hAnsi="Arial" w:cs="Arial"/>
        </w:rPr>
        <w:t xml:space="preserve">, assim como </w:t>
      </w:r>
      <w:r w:rsidR="00BA790E">
        <w:rPr>
          <w:rFonts w:ascii="Arial" w:hAnsi="Arial" w:cs="Arial"/>
        </w:rPr>
        <w:t xml:space="preserve">a </w:t>
      </w:r>
      <w:r w:rsidR="00AD011B">
        <w:rPr>
          <w:rFonts w:ascii="Arial" w:hAnsi="Arial" w:cs="Arial"/>
        </w:rPr>
        <w:t>relação entre estado nutric</w:t>
      </w:r>
      <w:r w:rsidR="00816D45">
        <w:rPr>
          <w:rFonts w:ascii="Arial" w:hAnsi="Arial" w:cs="Arial"/>
        </w:rPr>
        <w:t xml:space="preserve">ional e prevalência de anemia. </w:t>
      </w:r>
      <w:r w:rsidR="00AD011B">
        <w:rPr>
          <w:rFonts w:ascii="Arial" w:hAnsi="Arial" w:cs="Arial"/>
        </w:rPr>
        <w:t>Outros indícios mostraram que a vida social com a famí</w:t>
      </w:r>
      <w:r w:rsidR="00816D45">
        <w:rPr>
          <w:rFonts w:ascii="Arial" w:hAnsi="Arial" w:cs="Arial"/>
        </w:rPr>
        <w:t>lia é importante na profilaxia</w:t>
      </w:r>
      <w:r w:rsidR="00AD011B">
        <w:rPr>
          <w:rFonts w:ascii="Arial" w:hAnsi="Arial" w:cs="Arial"/>
        </w:rPr>
        <w:t xml:space="preserve">, sendo necessárias também conclusões mais objetivas sobre a presença de outras comorbidades e interação de medicamentos nos indivíduos anêmicos. </w:t>
      </w:r>
    </w:p>
    <w:p w14:paraId="0ED3B7D0" w14:textId="7E9B14CF" w:rsidR="00E32A9E" w:rsidRDefault="0063584D" w:rsidP="0044122B">
      <w:pPr>
        <w:spacing w:line="26" w:lineRule="atLeast"/>
        <w:ind w:firstLine="567"/>
        <w:jc w:val="both"/>
        <w:rPr>
          <w:rFonts w:ascii="Arial" w:hAnsi="Arial" w:cs="Arial"/>
        </w:rPr>
      </w:pPr>
      <w:r>
        <w:rPr>
          <w:rFonts w:ascii="Arial" w:hAnsi="Arial" w:cs="Arial"/>
        </w:rPr>
        <w:t xml:space="preserve">Para melhor abordar o tema e alcançar dados mais conclusivos em relação </w:t>
      </w:r>
      <w:r w:rsidR="00AD22B3">
        <w:rPr>
          <w:rFonts w:ascii="Arial" w:hAnsi="Arial" w:cs="Arial"/>
        </w:rPr>
        <w:t>à</w:t>
      </w:r>
      <w:r w:rsidR="00094B16">
        <w:rPr>
          <w:rFonts w:ascii="Arial" w:hAnsi="Arial" w:cs="Arial"/>
        </w:rPr>
        <w:t xml:space="preserve"> anemia ferropri</w:t>
      </w:r>
      <w:r>
        <w:rPr>
          <w:rFonts w:ascii="Arial" w:hAnsi="Arial" w:cs="Arial"/>
        </w:rPr>
        <w:t xml:space="preserve">va, </w:t>
      </w:r>
      <w:r w:rsidR="0044122B">
        <w:rPr>
          <w:rFonts w:ascii="Arial" w:hAnsi="Arial" w:cs="Arial"/>
        </w:rPr>
        <w:t xml:space="preserve">estudos futuros podem estimar com maior confiabilidade a extensão do problema neste grupo, sendo </w:t>
      </w:r>
      <w:r>
        <w:rPr>
          <w:rFonts w:ascii="Arial" w:hAnsi="Arial" w:cs="Arial"/>
        </w:rPr>
        <w:t xml:space="preserve">a </w:t>
      </w:r>
      <w:r w:rsidRPr="0063584D">
        <w:rPr>
          <w:rFonts w:ascii="Arial" w:hAnsi="Arial" w:cs="Arial"/>
        </w:rPr>
        <w:t>avaliação</w:t>
      </w:r>
      <w:r w:rsidR="00AD22B3">
        <w:rPr>
          <w:rFonts w:ascii="Arial" w:hAnsi="Arial" w:cs="Arial"/>
        </w:rPr>
        <w:t xml:space="preserve"> metodológica</w:t>
      </w:r>
      <w:r w:rsidRPr="0063584D">
        <w:rPr>
          <w:rFonts w:ascii="Arial" w:hAnsi="Arial" w:cs="Arial"/>
        </w:rPr>
        <w:t xml:space="preserve"> duplo-cega</w:t>
      </w:r>
      <w:r w:rsidR="0044122B">
        <w:rPr>
          <w:rFonts w:ascii="Arial" w:hAnsi="Arial" w:cs="Arial"/>
        </w:rPr>
        <w:t xml:space="preserve"> e caso-controle</w:t>
      </w:r>
      <w:r w:rsidR="00252829">
        <w:rPr>
          <w:rFonts w:ascii="Arial" w:hAnsi="Arial" w:cs="Arial"/>
        </w:rPr>
        <w:t xml:space="preserve"> </w:t>
      </w:r>
      <w:r>
        <w:rPr>
          <w:rFonts w:ascii="Arial" w:hAnsi="Arial" w:cs="Arial"/>
        </w:rPr>
        <w:t>vista</w:t>
      </w:r>
      <w:r w:rsidR="0044122B">
        <w:rPr>
          <w:rFonts w:ascii="Arial" w:hAnsi="Arial" w:cs="Arial"/>
        </w:rPr>
        <w:t>s</w:t>
      </w:r>
      <w:r w:rsidR="00252829">
        <w:rPr>
          <w:rFonts w:ascii="Arial" w:hAnsi="Arial" w:cs="Arial"/>
        </w:rPr>
        <w:t xml:space="preserve"> </w:t>
      </w:r>
      <w:r w:rsidRPr="0063584D">
        <w:rPr>
          <w:rFonts w:ascii="Arial" w:hAnsi="Arial" w:cs="Arial"/>
        </w:rPr>
        <w:t xml:space="preserve">como mais eficazes para </w:t>
      </w:r>
      <w:r w:rsidR="0044122B">
        <w:rPr>
          <w:rFonts w:ascii="Arial" w:hAnsi="Arial" w:cs="Arial"/>
        </w:rPr>
        <w:t xml:space="preserve">a </w:t>
      </w:r>
      <w:r w:rsidRPr="0063584D">
        <w:rPr>
          <w:rFonts w:ascii="Arial" w:hAnsi="Arial" w:cs="Arial"/>
        </w:rPr>
        <w:t>garanti</w:t>
      </w:r>
      <w:r w:rsidR="0044122B">
        <w:rPr>
          <w:rFonts w:ascii="Arial" w:hAnsi="Arial" w:cs="Arial"/>
        </w:rPr>
        <w:t>a</w:t>
      </w:r>
      <w:r w:rsidR="00252829">
        <w:rPr>
          <w:rFonts w:ascii="Arial" w:hAnsi="Arial" w:cs="Arial"/>
        </w:rPr>
        <w:t xml:space="preserve"> </w:t>
      </w:r>
      <w:r w:rsidR="0044122B">
        <w:rPr>
          <w:rFonts w:ascii="Arial" w:hAnsi="Arial" w:cs="Arial"/>
        </w:rPr>
        <w:t>d</w:t>
      </w:r>
      <w:r w:rsidRPr="0063584D">
        <w:rPr>
          <w:rFonts w:ascii="Arial" w:hAnsi="Arial" w:cs="Arial"/>
        </w:rPr>
        <w:t>a confiabilidade, credibilidade e consistência</w:t>
      </w:r>
      <w:r>
        <w:rPr>
          <w:rFonts w:ascii="Arial" w:hAnsi="Arial" w:cs="Arial"/>
        </w:rPr>
        <w:t xml:space="preserve"> dos dados</w:t>
      </w:r>
      <w:r w:rsidR="0044122B">
        <w:rPr>
          <w:rFonts w:ascii="Arial" w:hAnsi="Arial" w:cs="Arial"/>
        </w:rPr>
        <w:t>, uma vez que é</w:t>
      </w:r>
      <w:r w:rsidR="00AD22B3">
        <w:rPr>
          <w:rFonts w:ascii="Arial" w:hAnsi="Arial" w:cs="Arial"/>
        </w:rPr>
        <w:t xml:space="preserve"> necessária </w:t>
      </w:r>
      <w:r w:rsidR="00E32A9E">
        <w:rPr>
          <w:rFonts w:ascii="Arial" w:hAnsi="Arial" w:cs="Arial"/>
        </w:rPr>
        <w:t>atenção</w:t>
      </w:r>
      <w:r w:rsidR="0044122B">
        <w:rPr>
          <w:rFonts w:ascii="Arial" w:hAnsi="Arial" w:cs="Arial"/>
        </w:rPr>
        <w:t xml:space="preserve"> à</w:t>
      </w:r>
      <w:r w:rsidR="00E32A9E">
        <w:rPr>
          <w:rFonts w:ascii="Arial" w:hAnsi="Arial" w:cs="Arial"/>
        </w:rPr>
        <w:t xml:space="preserve"> prevalência e etiologia da anemia em idosos</w:t>
      </w:r>
      <w:r w:rsidR="0044122B">
        <w:rPr>
          <w:rFonts w:ascii="Arial" w:hAnsi="Arial" w:cs="Arial"/>
        </w:rPr>
        <w:t xml:space="preserve"> de modo a </w:t>
      </w:r>
      <w:r w:rsidR="00E32A9E">
        <w:rPr>
          <w:rFonts w:ascii="Arial" w:hAnsi="Arial" w:cs="Arial"/>
        </w:rPr>
        <w:t xml:space="preserve">favorecer a condução de atitudes eficazes e que objetivam </w:t>
      </w:r>
      <w:r w:rsidR="007328FD">
        <w:rPr>
          <w:rFonts w:ascii="Arial" w:hAnsi="Arial" w:cs="Arial"/>
        </w:rPr>
        <w:t>buscar</w:t>
      </w:r>
      <w:r w:rsidR="00E32A9E">
        <w:rPr>
          <w:rFonts w:ascii="Arial" w:hAnsi="Arial" w:cs="Arial"/>
        </w:rPr>
        <w:t xml:space="preserve"> uma maior e melhor expectativa de vida a essa população.</w:t>
      </w:r>
    </w:p>
    <w:p w14:paraId="6B3F5158" w14:textId="77777777" w:rsidR="00A506A6" w:rsidRPr="00FB6249" w:rsidRDefault="00A506A6" w:rsidP="00FB6249">
      <w:pPr>
        <w:spacing w:line="26" w:lineRule="atLeast"/>
        <w:rPr>
          <w:rFonts w:ascii="Arial" w:hAnsi="Arial" w:cs="Arial"/>
        </w:rPr>
      </w:pPr>
    </w:p>
    <w:p w14:paraId="7720924E" w14:textId="77777777" w:rsidR="00BF3E91" w:rsidRDefault="006B7B22" w:rsidP="00FB6249">
      <w:pPr>
        <w:pStyle w:val="Ttulo1"/>
        <w:spacing w:before="0" w:after="120" w:line="26" w:lineRule="atLeast"/>
        <w:rPr>
          <w:rFonts w:ascii="Arial" w:hAnsi="Arial" w:cs="Arial"/>
          <w:b/>
          <w:color w:val="auto"/>
          <w:sz w:val="22"/>
          <w:szCs w:val="22"/>
        </w:rPr>
      </w:pPr>
      <w:r w:rsidRPr="00FB6249">
        <w:rPr>
          <w:rFonts w:ascii="Arial" w:hAnsi="Arial" w:cs="Arial"/>
          <w:b/>
          <w:color w:val="auto"/>
          <w:sz w:val="22"/>
          <w:szCs w:val="22"/>
        </w:rPr>
        <w:t>R</w:t>
      </w:r>
      <w:r w:rsidR="00BF3E91" w:rsidRPr="00FB6249">
        <w:rPr>
          <w:rFonts w:ascii="Arial" w:hAnsi="Arial" w:cs="Arial"/>
          <w:b/>
          <w:color w:val="auto"/>
          <w:sz w:val="22"/>
          <w:szCs w:val="22"/>
        </w:rPr>
        <w:t>EFERÊNCIAS BIBLIOGRÁFICAS</w:t>
      </w:r>
      <w:bookmarkEnd w:id="3"/>
    </w:p>
    <w:p w14:paraId="3799A58F" w14:textId="77777777" w:rsidR="003C37D7" w:rsidRPr="004A45EE" w:rsidRDefault="003C37D7" w:rsidP="00DE662F">
      <w:pPr>
        <w:spacing w:line="240" w:lineRule="auto"/>
        <w:jc w:val="both"/>
        <w:rPr>
          <w:rFonts w:ascii="Arial" w:eastAsia="Calibri" w:hAnsi="Arial" w:cs="Arial"/>
        </w:rPr>
      </w:pPr>
      <w:r w:rsidRPr="00FB6249">
        <w:rPr>
          <w:rFonts w:ascii="Arial" w:eastAsia="Calibri" w:hAnsi="Arial" w:cs="Arial"/>
        </w:rPr>
        <w:t xml:space="preserve">ARANHA, F.Q. et al. O papel da vitamina </w:t>
      </w:r>
      <w:r w:rsidR="002B671C">
        <w:rPr>
          <w:rFonts w:ascii="Arial" w:eastAsia="Calibri" w:hAnsi="Arial" w:cs="Arial"/>
        </w:rPr>
        <w:t>C</w:t>
      </w:r>
      <w:r w:rsidRPr="00FB6249">
        <w:rPr>
          <w:rFonts w:ascii="Arial" w:eastAsia="Calibri" w:hAnsi="Arial" w:cs="Arial"/>
        </w:rPr>
        <w:t xml:space="preserve"> sobre as alterações orgânicas no idoso. </w:t>
      </w:r>
      <w:r w:rsidR="00231D5A">
        <w:rPr>
          <w:rFonts w:ascii="Arial" w:eastAsia="Calibri" w:hAnsi="Arial" w:cs="Arial"/>
          <w:b/>
        </w:rPr>
        <w:t>Rev. Nutr.</w:t>
      </w:r>
      <w:r w:rsidRPr="004A45EE">
        <w:rPr>
          <w:rFonts w:ascii="Arial" w:eastAsia="Calibri" w:hAnsi="Arial" w:cs="Arial"/>
        </w:rPr>
        <w:t xml:space="preserve"> Campinas, v.13, n.2, p.89-97, 2000.</w:t>
      </w:r>
    </w:p>
    <w:p w14:paraId="1C713618" w14:textId="77777777" w:rsidR="00B66ADB" w:rsidRDefault="00466E55" w:rsidP="00DE662F">
      <w:pPr>
        <w:spacing w:line="240" w:lineRule="auto"/>
        <w:jc w:val="both"/>
        <w:rPr>
          <w:rFonts w:ascii="Arial" w:eastAsia="Calibri" w:hAnsi="Arial" w:cs="Arial"/>
          <w:lang w:val="en-US"/>
        </w:rPr>
      </w:pPr>
      <w:r>
        <w:rPr>
          <w:rFonts w:ascii="Arial" w:eastAsia="Calibri" w:hAnsi="Arial" w:cs="Arial"/>
        </w:rPr>
        <w:t>BARBOSA, D.</w:t>
      </w:r>
      <w:r w:rsidR="00B66ADB" w:rsidRPr="00816D45">
        <w:rPr>
          <w:rFonts w:ascii="Arial" w:eastAsia="Calibri" w:hAnsi="Arial" w:cs="Arial"/>
        </w:rPr>
        <w:t xml:space="preserve">L.; ARRUDA, I.K.G; DINIZ, A. S. Prevalência e caracterização da anemia em idosos do Programa de Saúde da Família. </w:t>
      </w:r>
      <w:r w:rsidR="00B66ADB" w:rsidRPr="00816D45">
        <w:rPr>
          <w:rFonts w:ascii="Arial" w:eastAsia="Calibri" w:hAnsi="Arial" w:cs="Arial"/>
          <w:b/>
          <w:lang w:val="en-US"/>
        </w:rPr>
        <w:t>Rev Bras HematolHemoter</w:t>
      </w:r>
      <w:r w:rsidR="00231D5A">
        <w:rPr>
          <w:rFonts w:ascii="Arial" w:eastAsia="Calibri" w:hAnsi="Arial" w:cs="Arial"/>
          <w:lang w:val="en-US"/>
        </w:rPr>
        <w:t>.</w:t>
      </w:r>
      <w:r w:rsidR="00B66ADB" w:rsidRPr="00B66ADB">
        <w:rPr>
          <w:rFonts w:ascii="Arial" w:eastAsia="Calibri" w:hAnsi="Arial" w:cs="Arial"/>
          <w:lang w:val="en-US"/>
        </w:rPr>
        <w:t xml:space="preserve"> v. 28, n. 4, p. 288-92, 2006.</w:t>
      </w:r>
    </w:p>
    <w:p w14:paraId="3E34F3B6" w14:textId="77777777" w:rsidR="003C37D7" w:rsidRPr="000C374F" w:rsidRDefault="003C37D7" w:rsidP="00DE662F">
      <w:pPr>
        <w:spacing w:line="240" w:lineRule="auto"/>
        <w:jc w:val="both"/>
        <w:rPr>
          <w:rFonts w:ascii="Arial" w:eastAsia="Calibri" w:hAnsi="Arial" w:cs="Arial"/>
          <w:lang w:val="en-US"/>
        </w:rPr>
      </w:pPr>
      <w:r w:rsidRPr="00FB6249">
        <w:rPr>
          <w:rFonts w:ascii="Arial" w:eastAsia="Calibri" w:hAnsi="Arial" w:cs="Arial"/>
          <w:lang w:val="en-US"/>
        </w:rPr>
        <w:t xml:space="preserve">BALDUCCI, L. Epidemiology od anemia in elderly. </w:t>
      </w:r>
      <w:r w:rsidRPr="00FB6249">
        <w:rPr>
          <w:rFonts w:ascii="Arial" w:eastAsia="Calibri" w:hAnsi="Arial" w:cs="Arial"/>
          <w:b/>
          <w:lang w:val="en-US"/>
        </w:rPr>
        <w:t xml:space="preserve">J. Am. Geriatr. </w:t>
      </w:r>
      <w:r w:rsidRPr="000C374F">
        <w:rPr>
          <w:rFonts w:ascii="Arial" w:eastAsia="Calibri" w:hAnsi="Arial" w:cs="Arial"/>
          <w:b/>
          <w:lang w:val="en-US"/>
        </w:rPr>
        <w:t>Soc.</w:t>
      </w:r>
      <w:r w:rsidRPr="000C374F">
        <w:rPr>
          <w:rFonts w:ascii="Arial" w:eastAsia="Calibri" w:hAnsi="Arial" w:cs="Arial"/>
          <w:lang w:val="en-US"/>
        </w:rPr>
        <w:t xml:space="preserve"> v.51, suppl.3, p.2-9, 2003.</w:t>
      </w:r>
    </w:p>
    <w:p w14:paraId="1076616A" w14:textId="77777777" w:rsidR="003C37D7" w:rsidRPr="004A45EE" w:rsidRDefault="003C37D7" w:rsidP="00DE662F">
      <w:pPr>
        <w:spacing w:line="240" w:lineRule="auto"/>
        <w:jc w:val="both"/>
        <w:rPr>
          <w:rFonts w:ascii="Arial" w:eastAsia="Calibri" w:hAnsi="Arial" w:cs="Arial"/>
          <w:lang w:val="en-US"/>
        </w:rPr>
      </w:pPr>
      <w:r w:rsidRPr="00FB6249">
        <w:rPr>
          <w:rFonts w:ascii="Arial" w:eastAsia="Calibri" w:hAnsi="Arial" w:cs="Arial"/>
        </w:rPr>
        <w:t xml:space="preserve">BORTOLINI, G.A.; FISBERG, M. Orientação nutricional do paciente com deficiência de ferro. </w:t>
      </w:r>
      <w:r w:rsidRPr="004A45EE">
        <w:rPr>
          <w:rFonts w:ascii="Arial" w:eastAsia="Calibri" w:hAnsi="Arial" w:cs="Arial"/>
          <w:b/>
          <w:lang w:val="en-US"/>
        </w:rPr>
        <w:t>Rev. Bras. Hematol. Hemoter.</w:t>
      </w:r>
      <w:r w:rsidRPr="004A45EE">
        <w:rPr>
          <w:rFonts w:ascii="Arial" w:eastAsia="Calibri" w:hAnsi="Arial" w:cs="Arial"/>
          <w:lang w:val="en-US"/>
        </w:rPr>
        <w:t>, v.32, suppl.2, p.105-113, 2010.</w:t>
      </w:r>
    </w:p>
    <w:p w14:paraId="2883E03F" w14:textId="77777777" w:rsidR="00B66ADB" w:rsidRPr="00816D45" w:rsidRDefault="00466E55" w:rsidP="00DE662F">
      <w:pPr>
        <w:spacing w:line="240" w:lineRule="auto"/>
        <w:jc w:val="both"/>
        <w:rPr>
          <w:rFonts w:ascii="Arial" w:eastAsia="Calibri" w:hAnsi="Arial" w:cs="Arial"/>
        </w:rPr>
      </w:pPr>
      <w:r>
        <w:rPr>
          <w:rFonts w:ascii="Arial" w:eastAsia="Calibri" w:hAnsi="Arial" w:cs="Arial"/>
          <w:lang w:val="en-US"/>
        </w:rPr>
        <w:t xml:space="preserve">BOSCO, R.M. </w:t>
      </w:r>
      <w:r w:rsidR="00B66ADB" w:rsidRPr="00B66ADB">
        <w:rPr>
          <w:rFonts w:ascii="Arial" w:eastAsia="Calibri" w:hAnsi="Arial" w:cs="Arial"/>
          <w:lang w:val="en-US"/>
        </w:rPr>
        <w:t xml:space="preserve">et al. </w:t>
      </w:r>
      <w:r w:rsidR="00B66ADB" w:rsidRPr="000C374F">
        <w:rPr>
          <w:rFonts w:ascii="Arial" w:eastAsia="Calibri" w:hAnsi="Arial" w:cs="Arial"/>
          <w:lang w:val="en-US"/>
        </w:rPr>
        <w:t xml:space="preserve">Anemia and functional capacity in elderly Brazilian hospitalized patients. </w:t>
      </w:r>
      <w:r w:rsidR="00B66ADB" w:rsidRPr="00816D45">
        <w:rPr>
          <w:rFonts w:ascii="Arial" w:eastAsia="Calibri" w:hAnsi="Arial" w:cs="Arial"/>
          <w:b/>
        </w:rPr>
        <w:t>Cadernos de Saúde Pública</w:t>
      </w:r>
      <w:r w:rsidR="00231D5A">
        <w:rPr>
          <w:rFonts w:ascii="Arial" w:eastAsia="Calibri" w:hAnsi="Arial" w:cs="Arial"/>
        </w:rPr>
        <w:t>.</w:t>
      </w:r>
      <w:r w:rsidR="00B66ADB" w:rsidRPr="00816D45">
        <w:rPr>
          <w:rFonts w:ascii="Arial" w:eastAsia="Calibri" w:hAnsi="Arial" w:cs="Arial"/>
        </w:rPr>
        <w:t xml:space="preserve"> v. 29, n. 7, p. 1322-1332, 2013.</w:t>
      </w:r>
    </w:p>
    <w:p w14:paraId="663EA853" w14:textId="77777777" w:rsidR="00B6029B" w:rsidRDefault="00B6029B" w:rsidP="00DE662F">
      <w:pPr>
        <w:spacing w:line="240" w:lineRule="auto"/>
        <w:jc w:val="both"/>
        <w:rPr>
          <w:rFonts w:ascii="Arial" w:eastAsia="Calibri" w:hAnsi="Arial" w:cs="Arial"/>
        </w:rPr>
      </w:pPr>
      <w:r w:rsidRPr="00B6029B">
        <w:rPr>
          <w:rFonts w:ascii="Arial" w:eastAsia="Calibri" w:hAnsi="Arial" w:cs="Arial"/>
        </w:rPr>
        <w:t xml:space="preserve">BRASIL. Ministério da Saúde. Secretaria de Atenção à Saúde. Programa Nacional de </w:t>
      </w:r>
      <w:r w:rsidRPr="00B6029B">
        <w:rPr>
          <w:rFonts w:ascii="Arial" w:eastAsia="Calibri" w:hAnsi="Arial" w:cs="Arial"/>
          <w:b/>
        </w:rPr>
        <w:t>Suplementação de Ferro: manual de condutas gerais</w:t>
      </w:r>
      <w:r w:rsidRPr="00B6029B">
        <w:rPr>
          <w:rFonts w:ascii="Arial" w:eastAsia="Calibri" w:hAnsi="Arial" w:cs="Arial"/>
        </w:rPr>
        <w:t>. 2013. 24p.</w:t>
      </w:r>
    </w:p>
    <w:p w14:paraId="0CCC7762" w14:textId="77777777" w:rsidR="00B66ADB" w:rsidRDefault="00466E55" w:rsidP="00DE662F">
      <w:pPr>
        <w:spacing w:line="240" w:lineRule="auto"/>
        <w:jc w:val="both"/>
        <w:rPr>
          <w:rFonts w:ascii="Arial" w:eastAsia="Calibri" w:hAnsi="Arial" w:cs="Arial"/>
        </w:rPr>
      </w:pPr>
      <w:r w:rsidRPr="00951F0A">
        <w:rPr>
          <w:rFonts w:ascii="Arial" w:eastAsia="Calibri" w:hAnsi="Arial" w:cs="Arial"/>
        </w:rPr>
        <w:t>BUFFON, P.L.</w:t>
      </w:r>
      <w:r w:rsidR="00B66ADB" w:rsidRPr="00951F0A">
        <w:rPr>
          <w:rFonts w:ascii="Arial" w:eastAsia="Calibri" w:hAnsi="Arial" w:cs="Arial"/>
        </w:rPr>
        <w:t>D</w:t>
      </w:r>
      <w:r w:rsidRPr="00951F0A">
        <w:rPr>
          <w:rFonts w:ascii="Arial" w:eastAsia="Calibri" w:hAnsi="Arial" w:cs="Arial"/>
        </w:rPr>
        <w:t>.</w:t>
      </w:r>
      <w:r w:rsidR="00B66ADB" w:rsidRPr="00951F0A">
        <w:rPr>
          <w:rFonts w:ascii="Arial" w:eastAsia="Calibri" w:hAnsi="Arial" w:cs="Arial"/>
        </w:rPr>
        <w:t xml:space="preserve"> et al. </w:t>
      </w:r>
      <w:r w:rsidR="00B66ADB" w:rsidRPr="00B66ADB">
        <w:rPr>
          <w:rFonts w:ascii="Arial" w:eastAsia="Calibri" w:hAnsi="Arial" w:cs="Arial"/>
        </w:rPr>
        <w:t xml:space="preserve">Prevalência e caracterização da anemia em idosos atendidos pela estratégia saúde da família. </w:t>
      </w:r>
      <w:r w:rsidR="00B66ADB" w:rsidRPr="00816D45">
        <w:rPr>
          <w:rFonts w:ascii="Arial" w:eastAsia="Calibri" w:hAnsi="Arial" w:cs="Arial"/>
          <w:b/>
        </w:rPr>
        <w:t>Revista Brasileira de Geriatria e Gerontologia</w:t>
      </w:r>
      <w:r w:rsidR="00231D5A">
        <w:rPr>
          <w:rFonts w:ascii="Arial" w:eastAsia="Calibri" w:hAnsi="Arial" w:cs="Arial"/>
        </w:rPr>
        <w:t>.</w:t>
      </w:r>
      <w:r w:rsidR="00B66ADB" w:rsidRPr="00B66ADB">
        <w:rPr>
          <w:rFonts w:ascii="Arial" w:eastAsia="Calibri" w:hAnsi="Arial" w:cs="Arial"/>
        </w:rPr>
        <w:t xml:space="preserve"> v. 18, n. 2, p. 373-384, 2015.</w:t>
      </w:r>
    </w:p>
    <w:p w14:paraId="1B0CAE6A"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t xml:space="preserve">BRASIL. Secretaria de direitos Humanos. </w:t>
      </w:r>
      <w:r w:rsidRPr="00FB6249">
        <w:rPr>
          <w:rFonts w:ascii="Arial" w:eastAsia="Calibri" w:hAnsi="Arial" w:cs="Arial"/>
          <w:b/>
        </w:rPr>
        <w:t>Informe Brasil para a III Conferência Regional Intergovernamental sobre Envelhecimento na América Latina e Caribe.</w:t>
      </w:r>
      <w:r w:rsidRPr="00FB6249">
        <w:rPr>
          <w:rFonts w:ascii="Arial" w:eastAsia="Calibri" w:hAnsi="Arial" w:cs="Arial"/>
        </w:rPr>
        <w:t xml:space="preserve"> Costa Rica, 2012. Disponível em: &lt;http://www.cepal.org/celade/noticias/paginas/9/46849/Brasil.pdf&gt;. Acesso em: 09 set. 2017. </w:t>
      </w:r>
    </w:p>
    <w:p w14:paraId="508BDABE"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t xml:space="preserve">CABRERA, M.A.S. Abordagem da obesidade em pacientes idosos. In: JACOB FILHO, W., organizador. Promoção da saúde do idoso. São Paulo: </w:t>
      </w:r>
      <w:r w:rsidRPr="00FB6249">
        <w:rPr>
          <w:rFonts w:ascii="Arial" w:eastAsia="Calibri" w:hAnsi="Arial" w:cs="Arial"/>
          <w:b/>
        </w:rPr>
        <w:t>Lemos Editorial</w:t>
      </w:r>
      <w:r w:rsidR="00231D5A">
        <w:rPr>
          <w:rFonts w:ascii="Arial" w:eastAsia="Calibri" w:hAnsi="Arial" w:cs="Arial"/>
        </w:rPr>
        <w:t>.</w:t>
      </w:r>
      <w:r w:rsidRPr="00FB6249">
        <w:rPr>
          <w:rFonts w:ascii="Arial" w:eastAsia="Calibri" w:hAnsi="Arial" w:cs="Arial"/>
        </w:rPr>
        <w:t xml:space="preserve"> p.93-108, 1998.</w:t>
      </w:r>
    </w:p>
    <w:p w14:paraId="20539ABE"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t xml:space="preserve">CAMPOS, M.T.F.S.; MONTEIRO, J.B.R.; ORNELAS, A.P.R.C. Fatores que afetam o consumo alimentar e a nutrição no idoso. </w:t>
      </w:r>
      <w:r w:rsidRPr="00FB6249">
        <w:rPr>
          <w:rFonts w:ascii="Arial" w:eastAsia="Calibri" w:hAnsi="Arial" w:cs="Arial"/>
          <w:b/>
        </w:rPr>
        <w:t>Rev. Nutr.</w:t>
      </w:r>
      <w:r w:rsidRPr="00FB6249">
        <w:rPr>
          <w:rFonts w:ascii="Arial" w:eastAsia="Calibri" w:hAnsi="Arial" w:cs="Arial"/>
        </w:rPr>
        <w:t xml:space="preserve"> v.13, n.3, p.157-165, 2000</w:t>
      </w:r>
    </w:p>
    <w:p w14:paraId="42643E32" w14:textId="77777777" w:rsidR="00EA1C9F" w:rsidRDefault="00EA1C9F" w:rsidP="00DE662F">
      <w:pPr>
        <w:spacing w:line="240" w:lineRule="auto"/>
        <w:jc w:val="both"/>
        <w:rPr>
          <w:rFonts w:ascii="Arial" w:eastAsia="Calibri" w:hAnsi="Arial" w:cs="Arial"/>
        </w:rPr>
      </w:pPr>
      <w:r>
        <w:rPr>
          <w:rFonts w:ascii="Arial" w:eastAsia="Calibri" w:hAnsi="Arial" w:cs="Arial"/>
        </w:rPr>
        <w:t xml:space="preserve">CANÇADO, R.D. </w:t>
      </w:r>
      <w:r w:rsidRPr="00EA1C9F">
        <w:rPr>
          <w:rFonts w:ascii="Arial" w:eastAsia="Calibri" w:hAnsi="Arial" w:cs="Arial"/>
        </w:rPr>
        <w:t xml:space="preserve">Tratamento da anemia ferropênica: alternativas ao sulfato ferroso. </w:t>
      </w:r>
      <w:r w:rsidRPr="00EA1C9F">
        <w:rPr>
          <w:rFonts w:ascii="Arial" w:eastAsia="Calibri" w:hAnsi="Arial" w:cs="Arial"/>
          <w:b/>
        </w:rPr>
        <w:t>Rev. Bras. Hematol. Hemoter</w:t>
      </w:r>
      <w:r w:rsidRPr="00EA1C9F">
        <w:rPr>
          <w:rFonts w:ascii="Arial" w:eastAsia="Calibri" w:hAnsi="Arial" w:cs="Arial"/>
        </w:rPr>
        <w:t>.</w:t>
      </w:r>
      <w:r>
        <w:rPr>
          <w:rFonts w:ascii="Arial" w:eastAsia="Calibri" w:hAnsi="Arial" w:cs="Arial"/>
        </w:rPr>
        <w:t xml:space="preserve"> v.31, n.3, p.</w:t>
      </w:r>
      <w:r w:rsidRPr="00EA1C9F">
        <w:rPr>
          <w:rFonts w:ascii="Arial" w:eastAsia="Calibri" w:hAnsi="Arial" w:cs="Arial"/>
        </w:rPr>
        <w:t>121-122</w:t>
      </w:r>
      <w:r>
        <w:rPr>
          <w:rFonts w:ascii="Arial" w:eastAsia="Calibri" w:hAnsi="Arial" w:cs="Arial"/>
        </w:rPr>
        <w:t xml:space="preserve">, </w:t>
      </w:r>
      <w:r w:rsidRPr="00EA1C9F">
        <w:rPr>
          <w:rFonts w:ascii="Arial" w:eastAsia="Calibri" w:hAnsi="Arial" w:cs="Arial"/>
        </w:rPr>
        <w:t>2009</w:t>
      </w:r>
      <w:r>
        <w:rPr>
          <w:rFonts w:ascii="Arial" w:eastAsia="Calibri" w:hAnsi="Arial" w:cs="Arial"/>
        </w:rPr>
        <w:t>.</w:t>
      </w:r>
    </w:p>
    <w:p w14:paraId="1AB2CF78"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lastRenderedPageBreak/>
        <w:t xml:space="preserve">CARDOSO, A.F.C. Particularidades dos idosos: uma revisão sobre a fisiologia do envelhecimento. </w:t>
      </w:r>
      <w:r w:rsidRPr="00FB6249">
        <w:rPr>
          <w:rFonts w:ascii="Arial" w:eastAsia="Calibri" w:hAnsi="Arial" w:cs="Arial"/>
          <w:b/>
        </w:rPr>
        <w:t>Revista Digital</w:t>
      </w:r>
      <w:r w:rsidRPr="00FB6249">
        <w:rPr>
          <w:rFonts w:ascii="Arial" w:eastAsia="Calibri" w:hAnsi="Arial" w:cs="Arial"/>
        </w:rPr>
        <w:t>, Buenos Aires, ano 13, 2009. Disponível em:&lt;http://www.efdeportes.com/efd130/idosos-uma-revisao-sobre-a-fisiologia-do-envelhecimento.htm&gt;. Acesso em: 09 set. 2017.</w:t>
      </w:r>
    </w:p>
    <w:p w14:paraId="58CDF720" w14:textId="77777777" w:rsidR="0034567B" w:rsidRDefault="0034567B" w:rsidP="00DE662F">
      <w:pPr>
        <w:spacing w:line="240" w:lineRule="auto"/>
        <w:jc w:val="both"/>
        <w:rPr>
          <w:rFonts w:ascii="Arial" w:eastAsia="Calibri" w:hAnsi="Arial" w:cs="Arial"/>
          <w:highlight w:val="yellow"/>
        </w:rPr>
      </w:pPr>
      <w:r w:rsidRPr="0034567B">
        <w:rPr>
          <w:rFonts w:ascii="Arial" w:eastAsia="Calibri" w:hAnsi="Arial" w:cs="Arial"/>
        </w:rPr>
        <w:t>CASTELACI, L</w:t>
      </w:r>
      <w:r w:rsidR="00466E55">
        <w:rPr>
          <w:rFonts w:ascii="Arial" w:eastAsia="Calibri" w:hAnsi="Arial" w:cs="Arial"/>
        </w:rPr>
        <w:t>.</w:t>
      </w:r>
      <w:r w:rsidRPr="0034567B">
        <w:rPr>
          <w:rFonts w:ascii="Arial" w:eastAsia="Calibri" w:hAnsi="Arial" w:cs="Arial"/>
        </w:rPr>
        <w:t xml:space="preserve"> et al. Prevalência de anemia, perfil comportamental e aspectos nutricionais em idosos residentes de cidade de pequeno porte do sul do brasil. </w:t>
      </w:r>
      <w:r w:rsidRPr="00816D45">
        <w:rPr>
          <w:rFonts w:ascii="Arial" w:eastAsia="Calibri" w:hAnsi="Arial" w:cs="Arial"/>
          <w:b/>
        </w:rPr>
        <w:t>Acta BiomedicaBrasiliensia</w:t>
      </w:r>
      <w:r w:rsidR="00231D5A">
        <w:rPr>
          <w:rFonts w:ascii="Arial" w:eastAsia="Calibri" w:hAnsi="Arial" w:cs="Arial"/>
        </w:rPr>
        <w:t>.</w:t>
      </w:r>
      <w:r w:rsidRPr="0034567B">
        <w:rPr>
          <w:rFonts w:ascii="Arial" w:eastAsia="Calibri" w:hAnsi="Arial" w:cs="Arial"/>
        </w:rPr>
        <w:t xml:space="preserve"> v. 7, n. 2, p. 87-101, 2016.</w:t>
      </w:r>
    </w:p>
    <w:p w14:paraId="708E59DE" w14:textId="77777777" w:rsidR="0034567B" w:rsidRDefault="00466E55" w:rsidP="00DE662F">
      <w:pPr>
        <w:spacing w:line="240" w:lineRule="auto"/>
        <w:jc w:val="both"/>
        <w:rPr>
          <w:rFonts w:ascii="Arial" w:eastAsia="Calibri" w:hAnsi="Arial" w:cs="Arial"/>
        </w:rPr>
      </w:pPr>
      <w:r>
        <w:rPr>
          <w:rFonts w:ascii="Arial" w:eastAsia="Calibri" w:hAnsi="Arial" w:cs="Arial"/>
        </w:rPr>
        <w:t>COLARES-</w:t>
      </w:r>
      <w:r w:rsidR="0034567B">
        <w:rPr>
          <w:rFonts w:ascii="Arial" w:eastAsia="Calibri" w:hAnsi="Arial" w:cs="Arial"/>
        </w:rPr>
        <w:t>BENTO, F.C.</w:t>
      </w:r>
      <w:r w:rsidR="0034567B" w:rsidRPr="0034567B">
        <w:rPr>
          <w:rFonts w:ascii="Arial" w:eastAsia="Calibri" w:hAnsi="Arial" w:cs="Arial"/>
        </w:rPr>
        <w:t>J</w:t>
      </w:r>
      <w:r w:rsidR="00231D5A">
        <w:rPr>
          <w:rFonts w:ascii="Arial" w:eastAsia="Calibri" w:hAnsi="Arial" w:cs="Arial"/>
        </w:rPr>
        <w:t>.</w:t>
      </w:r>
      <w:r w:rsidR="0034567B" w:rsidRPr="0034567B">
        <w:rPr>
          <w:rFonts w:ascii="Arial" w:eastAsia="Calibri" w:hAnsi="Arial" w:cs="Arial"/>
        </w:rPr>
        <w:t>C</w:t>
      </w:r>
      <w:r w:rsidR="00231D5A">
        <w:rPr>
          <w:rFonts w:ascii="Arial" w:eastAsia="Calibri" w:hAnsi="Arial" w:cs="Arial"/>
        </w:rPr>
        <w:t>.</w:t>
      </w:r>
      <w:r w:rsidR="0034567B" w:rsidRPr="0034567B">
        <w:rPr>
          <w:rFonts w:ascii="Arial" w:eastAsia="Calibri" w:hAnsi="Arial" w:cs="Arial"/>
        </w:rPr>
        <w:t xml:space="preserve">et al. Níveis de ingestão de micronutrientes hematopoiéticos: ocorrência de anemia em idosas brasileiras. </w:t>
      </w:r>
      <w:r w:rsidR="00816D45" w:rsidRPr="00816D45">
        <w:rPr>
          <w:rFonts w:ascii="Arial" w:eastAsia="Calibri" w:hAnsi="Arial" w:cs="Arial"/>
          <w:b/>
        </w:rPr>
        <w:t>Acta Med Port</w:t>
      </w:r>
      <w:r w:rsidR="00816D45">
        <w:rPr>
          <w:rFonts w:ascii="Arial" w:eastAsia="Calibri" w:hAnsi="Arial" w:cs="Arial"/>
        </w:rPr>
        <w:t>. v.22, p.</w:t>
      </w:r>
      <w:r w:rsidR="00816D45" w:rsidRPr="00816D45">
        <w:rPr>
          <w:rFonts w:ascii="Arial" w:eastAsia="Calibri" w:hAnsi="Arial" w:cs="Arial"/>
        </w:rPr>
        <w:t>553-558</w:t>
      </w:r>
      <w:r w:rsidR="00816D45">
        <w:rPr>
          <w:rFonts w:ascii="Arial" w:eastAsia="Calibri" w:hAnsi="Arial" w:cs="Arial"/>
        </w:rPr>
        <w:t xml:space="preserve">, </w:t>
      </w:r>
      <w:r w:rsidR="0034567B" w:rsidRPr="0034567B">
        <w:rPr>
          <w:rFonts w:ascii="Arial" w:eastAsia="Calibri" w:hAnsi="Arial" w:cs="Arial"/>
        </w:rPr>
        <w:t>2009.</w:t>
      </w:r>
    </w:p>
    <w:p w14:paraId="201A9249" w14:textId="77777777" w:rsidR="0034567B" w:rsidRDefault="00466E55" w:rsidP="00DE662F">
      <w:pPr>
        <w:spacing w:line="240" w:lineRule="auto"/>
        <w:jc w:val="both"/>
        <w:rPr>
          <w:rFonts w:ascii="Arial" w:eastAsia="Calibri" w:hAnsi="Arial" w:cs="Arial"/>
        </w:rPr>
      </w:pPr>
      <w:r>
        <w:rPr>
          <w:rFonts w:ascii="Arial" w:eastAsia="Calibri" w:hAnsi="Arial" w:cs="Arial"/>
        </w:rPr>
        <w:t>CORONA, L.</w:t>
      </w:r>
      <w:r w:rsidR="0034567B">
        <w:rPr>
          <w:rFonts w:ascii="Arial" w:eastAsia="Calibri" w:hAnsi="Arial" w:cs="Arial"/>
        </w:rPr>
        <w:t>P</w:t>
      </w:r>
      <w:r w:rsidR="00231D5A">
        <w:rPr>
          <w:rFonts w:ascii="Arial" w:eastAsia="Calibri" w:hAnsi="Arial" w:cs="Arial"/>
        </w:rPr>
        <w:t>.</w:t>
      </w:r>
      <w:r w:rsidR="0034567B" w:rsidRPr="0034567B">
        <w:rPr>
          <w:rFonts w:ascii="Arial" w:eastAsia="Calibri" w:hAnsi="Arial" w:cs="Arial"/>
        </w:rPr>
        <w:t xml:space="preserve">; </w:t>
      </w:r>
      <w:r w:rsidR="00231D5A">
        <w:rPr>
          <w:rFonts w:ascii="Arial" w:eastAsia="Calibri" w:hAnsi="Arial" w:cs="Arial"/>
        </w:rPr>
        <w:t>DUARTE, Y. A.</w:t>
      </w:r>
      <w:r w:rsidR="0034567B">
        <w:rPr>
          <w:rFonts w:ascii="Arial" w:eastAsia="Calibri" w:hAnsi="Arial" w:cs="Arial"/>
        </w:rPr>
        <w:t>O</w:t>
      </w:r>
      <w:r w:rsidR="00231D5A">
        <w:rPr>
          <w:rFonts w:ascii="Arial" w:eastAsia="Calibri" w:hAnsi="Arial" w:cs="Arial"/>
        </w:rPr>
        <w:t>.</w:t>
      </w:r>
      <w:r w:rsidR="0034567B">
        <w:rPr>
          <w:rFonts w:ascii="Arial" w:eastAsia="Calibri" w:hAnsi="Arial" w:cs="Arial"/>
        </w:rPr>
        <w:t>; LEBRÃO, M. L</w:t>
      </w:r>
      <w:r w:rsidR="0034567B" w:rsidRPr="0034567B">
        <w:rPr>
          <w:rFonts w:ascii="Arial" w:eastAsia="Calibri" w:hAnsi="Arial" w:cs="Arial"/>
        </w:rPr>
        <w:t xml:space="preserve">. Prevalência de anemia e fatores associados em idosos: evidências do Estudo SABE. </w:t>
      </w:r>
      <w:r w:rsidR="0034567B" w:rsidRPr="00816D45">
        <w:rPr>
          <w:rFonts w:ascii="Arial" w:eastAsia="Calibri" w:hAnsi="Arial" w:cs="Arial"/>
          <w:b/>
        </w:rPr>
        <w:t>Revista de Saúde Pública</w:t>
      </w:r>
      <w:r w:rsidR="00231D5A">
        <w:rPr>
          <w:rFonts w:ascii="Arial" w:eastAsia="Calibri" w:hAnsi="Arial" w:cs="Arial"/>
        </w:rPr>
        <w:t>.</w:t>
      </w:r>
      <w:r w:rsidR="0034567B" w:rsidRPr="0034567B">
        <w:rPr>
          <w:rFonts w:ascii="Arial" w:eastAsia="Calibri" w:hAnsi="Arial" w:cs="Arial"/>
        </w:rPr>
        <w:t xml:space="preserve"> v. 48, n. 5, 2014.</w:t>
      </w:r>
    </w:p>
    <w:p w14:paraId="366ABF14" w14:textId="77777777" w:rsidR="0034567B" w:rsidRDefault="0034567B" w:rsidP="00DE662F">
      <w:pPr>
        <w:spacing w:line="240" w:lineRule="auto"/>
        <w:jc w:val="both"/>
        <w:rPr>
          <w:rFonts w:ascii="Arial" w:eastAsia="Calibri" w:hAnsi="Arial" w:cs="Arial"/>
        </w:rPr>
      </w:pPr>
      <w:r>
        <w:rPr>
          <w:rFonts w:ascii="Arial" w:eastAsia="Calibri" w:hAnsi="Arial" w:cs="Arial"/>
        </w:rPr>
        <w:t>COSTA, E.D</w:t>
      </w:r>
      <w:r w:rsidR="00231D5A">
        <w:rPr>
          <w:rFonts w:ascii="Arial" w:eastAsia="Calibri" w:hAnsi="Arial" w:cs="Arial"/>
        </w:rPr>
        <w:t>.</w:t>
      </w:r>
      <w:r>
        <w:rPr>
          <w:rFonts w:ascii="Arial" w:eastAsia="Calibri" w:hAnsi="Arial" w:cs="Arial"/>
        </w:rPr>
        <w:t>; SOARES, M.C</w:t>
      </w:r>
      <w:r w:rsidR="00231D5A">
        <w:rPr>
          <w:rFonts w:ascii="Arial" w:eastAsia="Calibri" w:hAnsi="Arial" w:cs="Arial"/>
        </w:rPr>
        <w:t>.</w:t>
      </w:r>
      <w:r w:rsidRPr="0034567B">
        <w:rPr>
          <w:rFonts w:ascii="Arial" w:eastAsia="Calibri" w:hAnsi="Arial" w:cs="Arial"/>
        </w:rPr>
        <w:t>; OLIVEIRA</w:t>
      </w:r>
      <w:r>
        <w:rPr>
          <w:rFonts w:ascii="Arial" w:eastAsia="Calibri" w:hAnsi="Arial" w:cs="Arial"/>
        </w:rPr>
        <w:t>, C.C</w:t>
      </w:r>
      <w:r w:rsidRPr="0034567B">
        <w:rPr>
          <w:rFonts w:ascii="Arial" w:eastAsia="Calibri" w:hAnsi="Arial" w:cs="Arial"/>
        </w:rPr>
        <w:t xml:space="preserve">. Prevalência e caracterização da anemia em idosos atendidos em um centro médico no interior de Sergipe. </w:t>
      </w:r>
      <w:r w:rsidR="006B5EB2" w:rsidRPr="006B5EB2">
        <w:rPr>
          <w:rFonts w:ascii="Arial" w:eastAsia="Calibri" w:hAnsi="Arial" w:cs="Arial"/>
          <w:b/>
        </w:rPr>
        <w:t>Nutr. Clín. Diet. Hosp</w:t>
      </w:r>
      <w:r w:rsidR="00231D5A">
        <w:rPr>
          <w:rFonts w:ascii="Arial" w:eastAsia="Calibri" w:hAnsi="Arial" w:cs="Arial"/>
        </w:rPr>
        <w:t>.</w:t>
      </w:r>
      <w:r w:rsidRPr="0034567B">
        <w:rPr>
          <w:rFonts w:ascii="Arial" w:eastAsia="Calibri" w:hAnsi="Arial" w:cs="Arial"/>
        </w:rPr>
        <w:t xml:space="preserve"> p. 65-72, 2016.</w:t>
      </w:r>
    </w:p>
    <w:p w14:paraId="383143D3" w14:textId="77777777" w:rsidR="003C37D7" w:rsidRPr="00FB6249" w:rsidRDefault="003C37D7" w:rsidP="00DE662F">
      <w:pPr>
        <w:spacing w:line="240" w:lineRule="auto"/>
        <w:jc w:val="both"/>
        <w:rPr>
          <w:rFonts w:ascii="Arial" w:eastAsia="Calibri" w:hAnsi="Arial" w:cs="Arial"/>
          <w:lang w:val="en-US"/>
        </w:rPr>
      </w:pPr>
      <w:r w:rsidRPr="00FB6249">
        <w:rPr>
          <w:rFonts w:ascii="Arial" w:eastAsia="Calibri" w:hAnsi="Arial" w:cs="Arial"/>
        </w:rPr>
        <w:t xml:space="preserve">GUALANDRO, S.F.M.; HOJAIJ, N.H.S.L.; FILHO, W.J. Deficiência de ferro no idoso. </w:t>
      </w:r>
      <w:r w:rsidRPr="00FB6249">
        <w:rPr>
          <w:rFonts w:ascii="Arial" w:eastAsia="Calibri" w:hAnsi="Arial" w:cs="Arial"/>
          <w:b/>
          <w:lang w:val="en-US"/>
        </w:rPr>
        <w:t>Rev. Bras. Hematol. Hemoter.</w:t>
      </w:r>
      <w:r w:rsidRPr="00FB6249">
        <w:rPr>
          <w:rFonts w:ascii="Arial" w:eastAsia="Calibri" w:hAnsi="Arial" w:cs="Arial"/>
          <w:lang w:val="en-US"/>
        </w:rPr>
        <w:t xml:space="preserve"> v.32, supl.2, p.57-61, 2010. </w:t>
      </w:r>
    </w:p>
    <w:p w14:paraId="5503BC29" w14:textId="77777777" w:rsidR="008762BF" w:rsidRDefault="008762BF" w:rsidP="00DE662F">
      <w:pPr>
        <w:spacing w:line="240" w:lineRule="auto"/>
        <w:jc w:val="both"/>
        <w:rPr>
          <w:rFonts w:ascii="Arial" w:eastAsia="Calibri" w:hAnsi="Arial" w:cs="Arial"/>
          <w:lang w:val="en-US"/>
        </w:rPr>
      </w:pPr>
      <w:r>
        <w:rPr>
          <w:rFonts w:ascii="Arial" w:eastAsia="Calibri" w:hAnsi="Arial" w:cs="Arial"/>
          <w:lang w:val="en-US"/>
        </w:rPr>
        <w:t>GURALNIK, J.M</w:t>
      </w:r>
      <w:r w:rsidRPr="008762BF">
        <w:rPr>
          <w:rFonts w:ascii="Arial" w:eastAsia="Calibri" w:hAnsi="Arial" w:cs="Arial"/>
          <w:lang w:val="en-US"/>
        </w:rPr>
        <w:t xml:space="preserve">. Prevalence of anemia in persons 65 years and older in the United States: evidence for a high rate of unexplained anemia. </w:t>
      </w:r>
      <w:r w:rsidRPr="008762BF">
        <w:rPr>
          <w:rFonts w:ascii="Arial" w:eastAsia="Calibri" w:hAnsi="Arial" w:cs="Arial"/>
          <w:b/>
          <w:lang w:val="en-US"/>
        </w:rPr>
        <w:t>Blood</w:t>
      </w:r>
      <w:r w:rsidRPr="008762BF">
        <w:rPr>
          <w:rFonts w:ascii="Arial" w:eastAsia="Calibri" w:hAnsi="Arial" w:cs="Arial"/>
          <w:lang w:val="en-US"/>
        </w:rPr>
        <w:t xml:space="preserve">. </w:t>
      </w:r>
      <w:r>
        <w:rPr>
          <w:rFonts w:ascii="Arial" w:eastAsia="Calibri" w:hAnsi="Arial" w:cs="Arial"/>
          <w:lang w:val="en-US"/>
        </w:rPr>
        <w:t xml:space="preserve">v.104, n.8, p.2263-8, </w:t>
      </w:r>
      <w:r w:rsidRPr="008762BF">
        <w:rPr>
          <w:rFonts w:ascii="Arial" w:eastAsia="Calibri" w:hAnsi="Arial" w:cs="Arial"/>
          <w:lang w:val="en-US"/>
        </w:rPr>
        <w:t>2004.</w:t>
      </w:r>
    </w:p>
    <w:p w14:paraId="45437E39" w14:textId="48B2DF73" w:rsidR="000C4863" w:rsidRDefault="000C4863" w:rsidP="00DE662F">
      <w:pPr>
        <w:spacing w:line="240" w:lineRule="auto"/>
        <w:jc w:val="both"/>
        <w:rPr>
          <w:rFonts w:ascii="Arial" w:eastAsia="Calibri" w:hAnsi="Arial" w:cs="Arial"/>
          <w:lang w:val="en-US"/>
        </w:rPr>
      </w:pPr>
      <w:r>
        <w:rPr>
          <w:rFonts w:ascii="Arial" w:eastAsia="Calibri" w:hAnsi="Arial" w:cs="Arial"/>
          <w:lang w:val="en-US"/>
        </w:rPr>
        <w:t xml:space="preserve">IOM. </w:t>
      </w:r>
      <w:r w:rsidRPr="000C4863">
        <w:rPr>
          <w:rFonts w:ascii="Arial" w:eastAsia="Calibri" w:hAnsi="Arial" w:cs="Arial"/>
          <w:lang w:val="en-US"/>
        </w:rPr>
        <w:t xml:space="preserve">Institute of Medicine. </w:t>
      </w:r>
      <w:r w:rsidRPr="004C1B26">
        <w:rPr>
          <w:rFonts w:ascii="Arial" w:eastAsia="Calibri" w:hAnsi="Arial" w:cs="Arial"/>
          <w:b/>
          <w:lang w:val="en-US"/>
        </w:rPr>
        <w:t>Dietary Reference Intakes for Energy, Carbohydrate, Fiber, Fat, Fatty Acids, Cholesterol, Protein, and Amino Acids</w:t>
      </w:r>
      <w:r>
        <w:rPr>
          <w:rFonts w:ascii="Arial" w:eastAsia="Calibri" w:hAnsi="Arial" w:cs="Arial"/>
          <w:lang w:val="en-US"/>
        </w:rPr>
        <w:t>. Food and Nutrition Board</w:t>
      </w:r>
      <w:r w:rsidRPr="000C4863">
        <w:rPr>
          <w:rFonts w:ascii="Arial" w:eastAsia="Calibri" w:hAnsi="Arial" w:cs="Arial"/>
          <w:lang w:val="en-US"/>
        </w:rPr>
        <w:t>; 2002.</w:t>
      </w:r>
    </w:p>
    <w:p w14:paraId="0B5647D1" w14:textId="494E2CDE" w:rsidR="003C37D7" w:rsidRPr="004C1B26" w:rsidRDefault="003C37D7" w:rsidP="00DE662F">
      <w:pPr>
        <w:spacing w:line="240" w:lineRule="auto"/>
        <w:jc w:val="both"/>
        <w:rPr>
          <w:rFonts w:ascii="Arial" w:eastAsia="Calibri" w:hAnsi="Arial" w:cs="Arial"/>
        </w:rPr>
      </w:pPr>
      <w:r w:rsidRPr="00D92D20">
        <w:rPr>
          <w:rFonts w:ascii="Arial" w:eastAsia="Calibri" w:hAnsi="Arial" w:cs="Arial"/>
          <w:lang w:val="en-US"/>
        </w:rPr>
        <w:t>LAUDICINA</w:t>
      </w:r>
      <w:r w:rsidR="00466E55" w:rsidRPr="00D92D20">
        <w:rPr>
          <w:rFonts w:ascii="Arial" w:eastAsia="Calibri" w:hAnsi="Arial" w:cs="Arial"/>
          <w:lang w:val="en-US"/>
        </w:rPr>
        <w:t>,</w:t>
      </w:r>
      <w:r w:rsidRPr="00593E5E">
        <w:rPr>
          <w:rFonts w:ascii="Arial" w:eastAsia="Calibri" w:hAnsi="Arial" w:cs="Arial"/>
          <w:lang w:val="en-US"/>
        </w:rPr>
        <w:t xml:space="preserve"> R.J. Anemia in an aging population. </w:t>
      </w:r>
      <w:r w:rsidRPr="004C1B26">
        <w:rPr>
          <w:rFonts w:ascii="Arial" w:eastAsia="Calibri" w:hAnsi="Arial" w:cs="Arial"/>
          <w:b/>
        </w:rPr>
        <w:t>Clin. Lab. Sei.</w:t>
      </w:r>
      <w:r w:rsidRPr="004C1B26">
        <w:rPr>
          <w:rFonts w:ascii="Arial" w:eastAsia="Calibri" w:hAnsi="Arial" w:cs="Arial"/>
        </w:rPr>
        <w:t xml:space="preserve"> v.21, n.4, p.232-239, 2008.</w:t>
      </w:r>
    </w:p>
    <w:p w14:paraId="080DC504" w14:textId="77777777" w:rsidR="003C37D7" w:rsidRPr="001C304D" w:rsidRDefault="003C37D7" w:rsidP="00DE662F">
      <w:pPr>
        <w:spacing w:line="240" w:lineRule="auto"/>
        <w:jc w:val="both"/>
        <w:rPr>
          <w:rFonts w:ascii="Arial" w:eastAsia="Calibri" w:hAnsi="Arial" w:cs="Arial"/>
          <w:lang w:val="en-US"/>
        </w:rPr>
      </w:pPr>
      <w:r w:rsidRPr="00FB6249">
        <w:rPr>
          <w:rFonts w:ascii="Arial" w:eastAsia="Calibri" w:hAnsi="Arial" w:cs="Arial"/>
          <w:lang w:val="en-US"/>
        </w:rPr>
        <w:t xml:space="preserve">LIPSCHITZ, D. Medical and functional consequences of anemia in the elderly. </w:t>
      </w:r>
      <w:r w:rsidRPr="00D470CD">
        <w:rPr>
          <w:rFonts w:ascii="Arial" w:eastAsia="Calibri" w:hAnsi="Arial" w:cs="Arial"/>
          <w:b/>
          <w:lang w:val="en-US"/>
        </w:rPr>
        <w:t xml:space="preserve">J. Am. Geriatr. </w:t>
      </w:r>
      <w:r w:rsidRPr="001C304D">
        <w:rPr>
          <w:rFonts w:ascii="Arial" w:eastAsia="Calibri" w:hAnsi="Arial" w:cs="Arial"/>
          <w:b/>
          <w:lang w:val="en-US"/>
        </w:rPr>
        <w:t>Soc.</w:t>
      </w:r>
      <w:r w:rsidRPr="001C304D">
        <w:rPr>
          <w:rFonts w:ascii="Arial" w:eastAsia="Calibri" w:hAnsi="Arial" w:cs="Arial"/>
          <w:lang w:val="en-US"/>
        </w:rPr>
        <w:t xml:space="preserve"> v.51, suppl. 3, p.10-13, 2003.</w:t>
      </w:r>
    </w:p>
    <w:p w14:paraId="134BE4C0" w14:textId="77777777" w:rsidR="0034567B" w:rsidRPr="00816D45" w:rsidRDefault="0034567B" w:rsidP="00DE662F">
      <w:pPr>
        <w:spacing w:line="240" w:lineRule="auto"/>
        <w:jc w:val="both"/>
        <w:rPr>
          <w:rFonts w:ascii="Arial" w:eastAsia="Calibri" w:hAnsi="Arial" w:cs="Arial"/>
        </w:rPr>
      </w:pPr>
      <w:r w:rsidRPr="00564E5A">
        <w:rPr>
          <w:rFonts w:ascii="Arial" w:eastAsia="Calibri" w:hAnsi="Arial" w:cs="Arial"/>
          <w:lang w:val="en-US"/>
        </w:rPr>
        <w:t>LOPES, A</w:t>
      </w:r>
      <w:r w:rsidR="00CB48A5" w:rsidRPr="00564E5A">
        <w:rPr>
          <w:rFonts w:ascii="Arial" w:eastAsia="Calibri" w:hAnsi="Arial" w:cs="Arial"/>
          <w:lang w:val="en-US"/>
        </w:rPr>
        <w:t>.C.S.</w:t>
      </w:r>
      <w:r w:rsidRPr="00564E5A">
        <w:rPr>
          <w:rFonts w:ascii="Arial" w:eastAsia="Calibri" w:hAnsi="Arial" w:cs="Arial"/>
          <w:lang w:val="en-US"/>
        </w:rPr>
        <w:t xml:space="preserve"> et al. </w:t>
      </w:r>
      <w:r w:rsidRPr="00816D45">
        <w:rPr>
          <w:rFonts w:ascii="Arial" w:eastAsia="Calibri" w:hAnsi="Arial" w:cs="Arial"/>
        </w:rPr>
        <w:t xml:space="preserve">Consumo de nutrientes em adultos e idosos em estudo de base populacional: Projeto Bambuí. </w:t>
      </w:r>
      <w:r w:rsidR="00564E5A" w:rsidRPr="00564E5A">
        <w:rPr>
          <w:rFonts w:ascii="Arial" w:eastAsia="Calibri" w:hAnsi="Arial" w:cs="Arial"/>
          <w:b/>
        </w:rPr>
        <w:t>Cad. Saúde Pública</w:t>
      </w:r>
      <w:r w:rsidR="00231D5A">
        <w:rPr>
          <w:rFonts w:ascii="Arial" w:eastAsia="Calibri" w:hAnsi="Arial" w:cs="Arial"/>
        </w:rPr>
        <w:t xml:space="preserve">. </w:t>
      </w:r>
      <w:r w:rsidR="00564E5A">
        <w:rPr>
          <w:rFonts w:ascii="Arial" w:eastAsia="Calibri" w:hAnsi="Arial" w:cs="Arial"/>
        </w:rPr>
        <w:t>v.21, n.4, p.</w:t>
      </w:r>
      <w:r w:rsidR="00564E5A" w:rsidRPr="00564E5A">
        <w:rPr>
          <w:rFonts w:ascii="Arial" w:eastAsia="Calibri" w:hAnsi="Arial" w:cs="Arial"/>
        </w:rPr>
        <w:t>1201-1209</w:t>
      </w:r>
      <w:r w:rsidR="00564E5A">
        <w:rPr>
          <w:rFonts w:ascii="Arial" w:eastAsia="Calibri" w:hAnsi="Arial" w:cs="Arial"/>
        </w:rPr>
        <w:t xml:space="preserve">, </w:t>
      </w:r>
      <w:r w:rsidRPr="00816D45">
        <w:rPr>
          <w:rFonts w:ascii="Arial" w:eastAsia="Calibri" w:hAnsi="Arial" w:cs="Arial"/>
        </w:rPr>
        <w:t>2005.</w:t>
      </w:r>
    </w:p>
    <w:p w14:paraId="6193595D" w14:textId="77777777" w:rsidR="00A40AB1" w:rsidRDefault="00A40AB1" w:rsidP="00DE662F">
      <w:pPr>
        <w:spacing w:line="240" w:lineRule="auto"/>
        <w:jc w:val="both"/>
        <w:rPr>
          <w:rFonts w:ascii="Arial" w:eastAsia="Calibri" w:hAnsi="Arial" w:cs="Arial"/>
        </w:rPr>
      </w:pPr>
      <w:r>
        <w:rPr>
          <w:rFonts w:ascii="Arial" w:eastAsia="Calibri" w:hAnsi="Arial" w:cs="Arial"/>
        </w:rPr>
        <w:t>MACEDO, F.V.</w:t>
      </w:r>
      <w:r w:rsidRPr="00A40AB1">
        <w:rPr>
          <w:rFonts w:ascii="Arial" w:eastAsia="Calibri" w:hAnsi="Arial" w:cs="Arial"/>
        </w:rPr>
        <w:t xml:space="preserve"> et al. Prevalência de anemia em idosos de instituição de longa permanência em Brasília/DF. </w:t>
      </w:r>
      <w:r w:rsidRPr="0008554A">
        <w:rPr>
          <w:rFonts w:ascii="Arial" w:eastAsia="Calibri" w:hAnsi="Arial" w:cs="Arial"/>
          <w:b/>
        </w:rPr>
        <w:t>Geriatrics, GerontologyandAging</w:t>
      </w:r>
      <w:r w:rsidR="00231D5A">
        <w:rPr>
          <w:rFonts w:ascii="Arial" w:eastAsia="Calibri" w:hAnsi="Arial" w:cs="Arial"/>
          <w:b/>
        </w:rPr>
        <w:t>.</w:t>
      </w:r>
      <w:r w:rsidR="0008554A">
        <w:rPr>
          <w:rFonts w:ascii="Arial" w:eastAsia="Calibri" w:hAnsi="Arial" w:cs="Arial"/>
        </w:rPr>
        <w:t>, v.5, n.4, p.</w:t>
      </w:r>
      <w:r w:rsidRPr="00A40AB1">
        <w:rPr>
          <w:rFonts w:ascii="Arial" w:eastAsia="Calibri" w:hAnsi="Arial" w:cs="Arial"/>
        </w:rPr>
        <w:t>214-219, 2011.</w:t>
      </w:r>
    </w:p>
    <w:p w14:paraId="6CD826CA"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t xml:space="preserve">MALTA, M.B.; PAPINI, S.J.; CORRENTE, J.E. Avaliação da alimentação de idosos de município paulista – aplicação do Índice de Alimentação Saudável. </w:t>
      </w:r>
      <w:r w:rsidRPr="00FB6249">
        <w:rPr>
          <w:rFonts w:ascii="Arial" w:eastAsia="Calibri" w:hAnsi="Arial" w:cs="Arial"/>
          <w:b/>
        </w:rPr>
        <w:t>Ciência &amp; Saúde Coletiva</w:t>
      </w:r>
      <w:r w:rsidR="00231D5A">
        <w:rPr>
          <w:rFonts w:ascii="Arial" w:eastAsia="Calibri" w:hAnsi="Arial" w:cs="Arial"/>
        </w:rPr>
        <w:t>.</w:t>
      </w:r>
      <w:r w:rsidRPr="00FB6249">
        <w:rPr>
          <w:rFonts w:ascii="Arial" w:eastAsia="Calibri" w:hAnsi="Arial" w:cs="Arial"/>
        </w:rPr>
        <w:t xml:space="preserve"> v.18, n.2, p.377-384, 2013.</w:t>
      </w:r>
    </w:p>
    <w:p w14:paraId="3B5503B3" w14:textId="77777777" w:rsidR="003C37D7" w:rsidRPr="00FB6249" w:rsidRDefault="003C37D7" w:rsidP="00DE662F">
      <w:pPr>
        <w:spacing w:line="240" w:lineRule="auto"/>
        <w:jc w:val="both"/>
        <w:rPr>
          <w:rFonts w:ascii="Arial" w:eastAsia="Calibri" w:hAnsi="Arial" w:cs="Arial"/>
        </w:rPr>
      </w:pPr>
      <w:r w:rsidRPr="00FB6249">
        <w:rPr>
          <w:rFonts w:ascii="Arial" w:eastAsia="Calibri" w:hAnsi="Arial" w:cs="Arial"/>
        </w:rPr>
        <w:t xml:space="preserve">MARQUES, A.P.O. et al. Envelhecimento, obesidade e consumo alimentar em idosos.  </w:t>
      </w:r>
      <w:r w:rsidRPr="00FB6249">
        <w:rPr>
          <w:rFonts w:ascii="Arial" w:eastAsia="Calibri" w:hAnsi="Arial" w:cs="Arial"/>
          <w:b/>
        </w:rPr>
        <w:t>Rev. Bras. Geriatr. Gerontol.</w:t>
      </w:r>
      <w:r w:rsidRPr="00FB6249">
        <w:rPr>
          <w:rFonts w:ascii="Arial" w:eastAsia="Calibri" w:hAnsi="Arial" w:cs="Arial"/>
        </w:rPr>
        <w:t xml:space="preserve"> v.10, n.2, p.231-242, 2007.</w:t>
      </w:r>
    </w:p>
    <w:p w14:paraId="477BCEA8" w14:textId="77777777" w:rsidR="002C557C" w:rsidRPr="004A45EE" w:rsidRDefault="003C37D7" w:rsidP="00DE662F">
      <w:pPr>
        <w:spacing w:line="240" w:lineRule="auto"/>
        <w:jc w:val="both"/>
        <w:rPr>
          <w:rFonts w:ascii="Arial" w:eastAsia="Calibri" w:hAnsi="Arial" w:cs="Arial"/>
        </w:rPr>
      </w:pPr>
      <w:r w:rsidRPr="00FB6249">
        <w:rPr>
          <w:rFonts w:ascii="Arial" w:eastAsia="Calibri" w:hAnsi="Arial" w:cs="Arial"/>
        </w:rPr>
        <w:t xml:space="preserve">MENDONÇA, P.S.M.; RELVAS, K.; CORREA, S.R.A. Estudo do comportamento alimentar de consumidores idosos no Brasil: alimentos preferidos, perfil do consumidor e contexto de consumo. </w:t>
      </w:r>
      <w:r w:rsidRPr="004A45EE">
        <w:rPr>
          <w:rFonts w:ascii="Arial" w:eastAsia="Calibri" w:hAnsi="Arial" w:cs="Arial"/>
          <w:b/>
        </w:rPr>
        <w:t>Rev. Ciênc. Admin.</w:t>
      </w:r>
      <w:r w:rsidRPr="004A45EE">
        <w:rPr>
          <w:rFonts w:ascii="Arial" w:eastAsia="Calibri" w:hAnsi="Arial" w:cs="Arial"/>
        </w:rPr>
        <w:t>, v.16, n.2, p.529-543, 2010.</w:t>
      </w:r>
    </w:p>
    <w:p w14:paraId="73B3DAB2" w14:textId="77777777" w:rsidR="0034567B" w:rsidRDefault="0034567B" w:rsidP="00DE662F">
      <w:pPr>
        <w:spacing w:line="240" w:lineRule="auto"/>
        <w:jc w:val="both"/>
        <w:rPr>
          <w:rFonts w:ascii="Arial" w:eastAsia="Calibri" w:hAnsi="Arial" w:cs="Arial"/>
        </w:rPr>
      </w:pPr>
      <w:r>
        <w:rPr>
          <w:rFonts w:ascii="Arial" w:eastAsia="Calibri" w:hAnsi="Arial" w:cs="Arial"/>
        </w:rPr>
        <w:t>MENEZES, T. N</w:t>
      </w:r>
      <w:r w:rsidRPr="0034567B">
        <w:rPr>
          <w:rFonts w:ascii="Arial" w:eastAsia="Calibri" w:hAnsi="Arial" w:cs="Arial"/>
        </w:rPr>
        <w:t>.</w:t>
      </w:r>
      <w:r w:rsidR="00D30BF1">
        <w:rPr>
          <w:rFonts w:ascii="Arial" w:eastAsia="Calibri" w:hAnsi="Arial" w:cs="Arial"/>
        </w:rPr>
        <w:t xml:space="preserve">, </w:t>
      </w:r>
      <w:r w:rsidR="00E94F25">
        <w:rPr>
          <w:rFonts w:ascii="Arial" w:eastAsia="Calibri" w:hAnsi="Arial" w:cs="Arial"/>
        </w:rPr>
        <w:t>MARUCCI</w:t>
      </w:r>
      <w:r w:rsidR="00876A9A">
        <w:rPr>
          <w:rFonts w:ascii="Arial" w:eastAsia="Calibri" w:hAnsi="Arial" w:cs="Arial"/>
        </w:rPr>
        <w:t>, M.F.</w:t>
      </w:r>
      <w:r w:rsidR="00E94F25">
        <w:rPr>
          <w:rFonts w:ascii="Arial" w:eastAsia="Calibri" w:hAnsi="Arial" w:cs="Arial"/>
        </w:rPr>
        <w:t>N.</w:t>
      </w:r>
      <w:r w:rsidR="00876A9A">
        <w:rPr>
          <w:rFonts w:ascii="Arial" w:eastAsia="Calibri" w:hAnsi="Arial" w:cs="Arial"/>
        </w:rPr>
        <w:t xml:space="preserve">; </w:t>
      </w:r>
      <w:r w:rsidR="00E94F25">
        <w:rPr>
          <w:rFonts w:ascii="Arial" w:eastAsia="Calibri" w:hAnsi="Arial" w:cs="Arial"/>
        </w:rPr>
        <w:t xml:space="preserve">HOLANDA, </w:t>
      </w:r>
      <w:r w:rsidR="00955E11">
        <w:rPr>
          <w:rFonts w:ascii="Arial" w:eastAsia="Calibri" w:hAnsi="Arial" w:cs="Arial"/>
        </w:rPr>
        <w:t>I.M.M.</w:t>
      </w:r>
      <w:r w:rsidRPr="0034567B">
        <w:rPr>
          <w:rFonts w:ascii="Arial" w:eastAsia="Calibri" w:hAnsi="Arial" w:cs="Arial"/>
        </w:rPr>
        <w:t xml:space="preserve"> Ingestão de cálcio e ferro alimentar por idosos residentes em instituições geriátricas de </w:t>
      </w:r>
      <w:r w:rsidR="00557739" w:rsidRPr="0034567B">
        <w:rPr>
          <w:rFonts w:ascii="Arial" w:eastAsia="Calibri" w:hAnsi="Arial" w:cs="Arial"/>
        </w:rPr>
        <w:t>Fortaleza</w:t>
      </w:r>
      <w:r w:rsidRPr="0034567B">
        <w:rPr>
          <w:rFonts w:ascii="Arial" w:eastAsia="Calibri" w:hAnsi="Arial" w:cs="Arial"/>
        </w:rPr>
        <w:t xml:space="preserve">. </w:t>
      </w:r>
      <w:r w:rsidRPr="0008554A">
        <w:rPr>
          <w:rFonts w:ascii="Arial" w:eastAsia="Calibri" w:hAnsi="Arial" w:cs="Arial"/>
          <w:b/>
        </w:rPr>
        <w:t>Rev</w:t>
      </w:r>
      <w:r w:rsidR="0008554A" w:rsidRPr="0008554A">
        <w:rPr>
          <w:rFonts w:ascii="Arial" w:eastAsia="Calibri" w:hAnsi="Arial" w:cs="Arial"/>
          <w:b/>
        </w:rPr>
        <w:t>.</w:t>
      </w:r>
      <w:r w:rsidRPr="0008554A">
        <w:rPr>
          <w:rFonts w:ascii="Arial" w:eastAsia="Calibri" w:hAnsi="Arial" w:cs="Arial"/>
          <w:b/>
        </w:rPr>
        <w:t>Saude. Com</w:t>
      </w:r>
      <w:r w:rsidR="00231D5A">
        <w:rPr>
          <w:rFonts w:ascii="Arial" w:eastAsia="Calibri" w:hAnsi="Arial" w:cs="Arial"/>
        </w:rPr>
        <w:t>. v.1, n.2, p.</w:t>
      </w:r>
      <w:r w:rsidRPr="0034567B">
        <w:rPr>
          <w:rFonts w:ascii="Arial" w:eastAsia="Calibri" w:hAnsi="Arial" w:cs="Arial"/>
        </w:rPr>
        <w:t>100-109, 2005.</w:t>
      </w:r>
    </w:p>
    <w:p w14:paraId="55D9CC6F" w14:textId="77777777" w:rsidR="00A40AB1" w:rsidRDefault="00231D5A" w:rsidP="00DE662F">
      <w:pPr>
        <w:spacing w:line="240" w:lineRule="auto"/>
        <w:jc w:val="both"/>
        <w:rPr>
          <w:rFonts w:ascii="Arial" w:eastAsia="Calibri" w:hAnsi="Arial" w:cs="Arial"/>
        </w:rPr>
      </w:pPr>
      <w:r>
        <w:rPr>
          <w:rFonts w:ascii="Arial" w:eastAsia="Calibri" w:hAnsi="Arial" w:cs="Arial"/>
        </w:rPr>
        <w:lastRenderedPageBreak/>
        <w:t>MILAGRES, C.</w:t>
      </w:r>
      <w:r w:rsidR="00A40AB1">
        <w:rPr>
          <w:rFonts w:ascii="Arial" w:eastAsia="Calibri" w:hAnsi="Arial" w:cs="Arial"/>
        </w:rPr>
        <w:t>S</w:t>
      </w:r>
      <w:r w:rsidR="00466E55">
        <w:rPr>
          <w:rFonts w:ascii="Arial" w:eastAsia="Calibri" w:hAnsi="Arial" w:cs="Arial"/>
        </w:rPr>
        <w:t>.</w:t>
      </w:r>
      <w:r w:rsidR="00A40AB1" w:rsidRPr="00A40AB1">
        <w:rPr>
          <w:rFonts w:ascii="Arial" w:eastAsia="Calibri" w:hAnsi="Arial" w:cs="Arial"/>
        </w:rPr>
        <w:t xml:space="preserve"> et al. Prevalência e fatores associados à presença de anemia em idosos do município de Viçosa (MG), Brasil. </w:t>
      </w:r>
      <w:r w:rsidR="00A40AB1" w:rsidRPr="0008554A">
        <w:rPr>
          <w:rFonts w:ascii="Arial" w:eastAsia="Calibri" w:hAnsi="Arial" w:cs="Arial"/>
          <w:b/>
        </w:rPr>
        <w:t>Ciência &amp; Saúde Coletiva</w:t>
      </w:r>
      <w:r>
        <w:rPr>
          <w:rFonts w:ascii="Arial" w:eastAsia="Calibri" w:hAnsi="Arial" w:cs="Arial"/>
        </w:rPr>
        <w:t>.</w:t>
      </w:r>
      <w:r w:rsidR="00A40AB1" w:rsidRPr="00A40AB1">
        <w:rPr>
          <w:rFonts w:ascii="Arial" w:eastAsia="Calibri" w:hAnsi="Arial" w:cs="Arial"/>
        </w:rPr>
        <w:t xml:space="preserve"> v. 20, n. 12, 2015.</w:t>
      </w:r>
    </w:p>
    <w:p w14:paraId="1F849C36" w14:textId="77777777" w:rsidR="003C37D7" w:rsidRPr="00EE616A" w:rsidRDefault="003C37D7" w:rsidP="00DE662F">
      <w:pPr>
        <w:spacing w:line="240" w:lineRule="auto"/>
        <w:jc w:val="both"/>
        <w:rPr>
          <w:rFonts w:ascii="Arial" w:eastAsia="Calibri" w:hAnsi="Arial" w:cs="Arial"/>
          <w:lang w:val="en-US"/>
        </w:rPr>
      </w:pPr>
      <w:r w:rsidRPr="00816D45">
        <w:rPr>
          <w:rFonts w:ascii="Arial" w:eastAsia="Calibri" w:hAnsi="Arial" w:cs="Arial"/>
        </w:rPr>
        <w:t xml:space="preserve">PATEL, K.V.; GURALNIK, J.M. Prognosticimplicationsof anemia in olderadults. </w:t>
      </w:r>
      <w:r w:rsidRPr="00EE616A">
        <w:rPr>
          <w:rFonts w:ascii="Arial" w:eastAsia="Calibri" w:hAnsi="Arial" w:cs="Arial"/>
          <w:b/>
          <w:lang w:val="en-US"/>
        </w:rPr>
        <w:t>Haematologica</w:t>
      </w:r>
      <w:r w:rsidR="00231D5A" w:rsidRPr="00EE616A">
        <w:rPr>
          <w:rFonts w:ascii="Arial" w:eastAsia="Calibri" w:hAnsi="Arial" w:cs="Arial"/>
          <w:lang w:val="en-US"/>
        </w:rPr>
        <w:t>.</w:t>
      </w:r>
      <w:r w:rsidRPr="00EE616A">
        <w:rPr>
          <w:rFonts w:ascii="Arial" w:eastAsia="Calibri" w:hAnsi="Arial" w:cs="Arial"/>
          <w:lang w:val="en-US"/>
        </w:rPr>
        <w:t xml:space="preserve"> v.94, n.1, p.1-2, 2009. </w:t>
      </w:r>
    </w:p>
    <w:p w14:paraId="3D698DF2" w14:textId="77777777" w:rsidR="003C37D7" w:rsidRPr="00816D45" w:rsidRDefault="003C37D7" w:rsidP="00DE662F">
      <w:pPr>
        <w:spacing w:line="240" w:lineRule="auto"/>
        <w:jc w:val="both"/>
        <w:rPr>
          <w:rFonts w:ascii="Arial" w:eastAsia="Calibri" w:hAnsi="Arial" w:cs="Arial"/>
        </w:rPr>
      </w:pPr>
      <w:r w:rsidRPr="00FB6249">
        <w:rPr>
          <w:rFonts w:ascii="Arial" w:eastAsia="Calibri" w:hAnsi="Arial" w:cs="Arial"/>
          <w:lang w:val="en-US"/>
        </w:rPr>
        <w:t>PENNINX</w:t>
      </w:r>
      <w:r w:rsidR="00466E55">
        <w:rPr>
          <w:rFonts w:ascii="Arial" w:eastAsia="Calibri" w:hAnsi="Arial" w:cs="Arial"/>
          <w:lang w:val="en-US"/>
        </w:rPr>
        <w:t>, B.</w:t>
      </w:r>
      <w:r w:rsidRPr="00FB6249">
        <w:rPr>
          <w:rFonts w:ascii="Arial" w:eastAsia="Calibri" w:hAnsi="Arial" w:cs="Arial"/>
          <w:lang w:val="en-US"/>
        </w:rPr>
        <w:t xml:space="preserve"> et al. Anemia is associated with disability and decreased physical performance and muscle strength in the elderly. </w:t>
      </w:r>
      <w:r w:rsidRPr="00EE616A">
        <w:rPr>
          <w:rFonts w:ascii="Arial" w:eastAsia="Calibri" w:hAnsi="Arial" w:cs="Arial"/>
          <w:b/>
        </w:rPr>
        <w:t xml:space="preserve">J. Am. Geriatr. </w:t>
      </w:r>
      <w:r w:rsidRPr="00816D45">
        <w:rPr>
          <w:rFonts w:ascii="Arial" w:eastAsia="Calibri" w:hAnsi="Arial" w:cs="Arial"/>
          <w:b/>
        </w:rPr>
        <w:t>Soc.</w:t>
      </w:r>
      <w:r w:rsidRPr="00816D45">
        <w:rPr>
          <w:rFonts w:ascii="Arial" w:eastAsia="Calibri" w:hAnsi="Arial" w:cs="Arial"/>
        </w:rPr>
        <w:t>, v.52, n.5, p.719-724, 2004.</w:t>
      </w:r>
    </w:p>
    <w:p w14:paraId="15775DF3" w14:textId="77777777" w:rsidR="00A40AB1" w:rsidRPr="00816D45" w:rsidRDefault="00A40AB1" w:rsidP="00DE662F">
      <w:pPr>
        <w:spacing w:line="240" w:lineRule="auto"/>
        <w:jc w:val="both"/>
        <w:rPr>
          <w:rFonts w:ascii="Arial" w:eastAsia="Calibri" w:hAnsi="Arial" w:cs="Arial"/>
        </w:rPr>
      </w:pPr>
      <w:r w:rsidRPr="00816D45">
        <w:rPr>
          <w:rFonts w:ascii="Arial" w:eastAsia="Calibri" w:hAnsi="Arial" w:cs="Arial"/>
        </w:rPr>
        <w:t xml:space="preserve">SANTOS, I.S. </w:t>
      </w:r>
      <w:r w:rsidRPr="0008554A">
        <w:rPr>
          <w:rFonts w:ascii="Arial" w:eastAsia="Calibri" w:hAnsi="Arial" w:cs="Arial"/>
          <w:b/>
        </w:rPr>
        <w:t>Prevalência de anemia em idosos, causas de persistência ou recorrência e sua relação com demência: resultados do São Paulo Ageingand Health Study.</w:t>
      </w:r>
      <w:r w:rsidRPr="00816D45">
        <w:rPr>
          <w:rFonts w:ascii="Arial" w:eastAsia="Calibri" w:hAnsi="Arial" w:cs="Arial"/>
        </w:rPr>
        <w:t xml:space="preserve"> 2009. Tese de Doutorado. Universidade de São Paulo.</w:t>
      </w:r>
    </w:p>
    <w:p w14:paraId="1F5BEF5F" w14:textId="77777777" w:rsidR="003C37D7" w:rsidRPr="004C1B26" w:rsidRDefault="003C37D7" w:rsidP="00DE662F">
      <w:pPr>
        <w:spacing w:line="240" w:lineRule="auto"/>
        <w:jc w:val="both"/>
        <w:rPr>
          <w:rFonts w:ascii="Arial" w:eastAsia="Calibri" w:hAnsi="Arial" w:cs="Arial"/>
        </w:rPr>
      </w:pPr>
      <w:r w:rsidRPr="00EE616A">
        <w:rPr>
          <w:rFonts w:ascii="Arial" w:eastAsia="Calibri" w:hAnsi="Arial" w:cs="Arial"/>
        </w:rPr>
        <w:t xml:space="preserve">SCHAAN, M.D.A. et al. </w:t>
      </w:r>
      <w:r w:rsidRPr="00FB6249">
        <w:rPr>
          <w:rFonts w:ascii="Arial" w:eastAsia="Calibri" w:hAnsi="Arial" w:cs="Arial"/>
          <w:lang w:val="en-US"/>
        </w:rPr>
        <w:t xml:space="preserve">Hematological and nutricional parameters in apparently healthy elderly individuals. </w:t>
      </w:r>
      <w:r w:rsidRPr="004C1B26">
        <w:rPr>
          <w:rFonts w:ascii="Arial" w:eastAsia="Calibri" w:hAnsi="Arial" w:cs="Arial"/>
          <w:b/>
        </w:rPr>
        <w:t>Rev. Bras. Hematol. Hemoter.</w:t>
      </w:r>
      <w:r w:rsidRPr="004C1B26">
        <w:rPr>
          <w:rFonts w:ascii="Arial" w:eastAsia="Calibri" w:hAnsi="Arial" w:cs="Arial"/>
        </w:rPr>
        <w:t xml:space="preserve"> v.29, p.136-143, 2007.</w:t>
      </w:r>
    </w:p>
    <w:p w14:paraId="24FADCEA" w14:textId="77777777" w:rsidR="00A40AB1" w:rsidRPr="00A40AB1" w:rsidRDefault="00466E55" w:rsidP="00DE662F">
      <w:pPr>
        <w:spacing w:line="240" w:lineRule="auto"/>
        <w:jc w:val="both"/>
        <w:rPr>
          <w:rFonts w:ascii="Arial" w:hAnsi="Arial" w:cs="Arial"/>
          <w:szCs w:val="20"/>
          <w:shd w:val="clear" w:color="auto" w:fill="FFFFFF"/>
        </w:rPr>
      </w:pPr>
      <w:r w:rsidRPr="000C374F">
        <w:rPr>
          <w:rFonts w:ascii="Arial" w:hAnsi="Arial" w:cs="Arial"/>
          <w:szCs w:val="20"/>
          <w:shd w:val="clear" w:color="auto" w:fill="FFFFFF"/>
        </w:rPr>
        <w:t>SILVA, C.L.A</w:t>
      </w:r>
      <w:r w:rsidR="00A40AB1" w:rsidRPr="000C374F">
        <w:rPr>
          <w:rFonts w:ascii="Arial" w:hAnsi="Arial" w:cs="Arial"/>
          <w:szCs w:val="20"/>
          <w:shd w:val="clear" w:color="auto" w:fill="FFFFFF"/>
        </w:rPr>
        <w:t xml:space="preserve">. et al. </w:t>
      </w:r>
      <w:r w:rsidR="00A40AB1" w:rsidRPr="00A40AB1">
        <w:rPr>
          <w:rFonts w:ascii="Arial" w:hAnsi="Arial" w:cs="Arial"/>
          <w:szCs w:val="20"/>
          <w:shd w:val="clear" w:color="auto" w:fill="FFFFFF"/>
        </w:rPr>
        <w:t>Anemia e nível de hemoglobina como fatores prognósticos da mortalidade entre idosos residentes na comunidade: evidências da Coorte de Idosos de Bambuí, Minas Gerais, Brasil. </w:t>
      </w:r>
      <w:r w:rsidR="00231D5A">
        <w:rPr>
          <w:rFonts w:ascii="Arial" w:hAnsi="Arial" w:cs="Arial"/>
          <w:b/>
          <w:bCs/>
          <w:szCs w:val="20"/>
          <w:shd w:val="clear" w:color="auto" w:fill="FFFFFF"/>
        </w:rPr>
        <w:t>Cadernos de Saúde Pú</w:t>
      </w:r>
      <w:r w:rsidR="00A40AB1" w:rsidRPr="00A40AB1">
        <w:rPr>
          <w:rFonts w:ascii="Arial" w:hAnsi="Arial" w:cs="Arial"/>
          <w:b/>
          <w:bCs/>
          <w:szCs w:val="20"/>
          <w:shd w:val="clear" w:color="auto" w:fill="FFFFFF"/>
        </w:rPr>
        <w:t>blica</w:t>
      </w:r>
      <w:r w:rsidR="00231D5A">
        <w:rPr>
          <w:rFonts w:ascii="Arial" w:hAnsi="Arial" w:cs="Arial"/>
          <w:b/>
          <w:bCs/>
          <w:szCs w:val="20"/>
          <w:shd w:val="clear" w:color="auto" w:fill="FFFFFF"/>
        </w:rPr>
        <w:t>.</w:t>
      </w:r>
      <w:r w:rsidR="00A40AB1" w:rsidRPr="00A40AB1">
        <w:rPr>
          <w:rFonts w:ascii="Arial" w:hAnsi="Arial" w:cs="Arial"/>
          <w:szCs w:val="20"/>
          <w:shd w:val="clear" w:color="auto" w:fill="FFFFFF"/>
        </w:rPr>
        <w:t xml:space="preserve"> v. 29, n. 11, p. 2241-50, 2013.</w:t>
      </w:r>
    </w:p>
    <w:p w14:paraId="46F9C8D6" w14:textId="77777777" w:rsidR="00A40AB1" w:rsidRDefault="00466E55" w:rsidP="00DE662F">
      <w:pPr>
        <w:spacing w:line="240" w:lineRule="auto"/>
        <w:jc w:val="both"/>
        <w:rPr>
          <w:rFonts w:ascii="Arial" w:eastAsia="Calibri" w:hAnsi="Arial" w:cs="Arial"/>
          <w:lang w:val="en-US"/>
        </w:rPr>
      </w:pPr>
      <w:r>
        <w:rPr>
          <w:rFonts w:ascii="Arial" w:eastAsia="Calibri" w:hAnsi="Arial" w:cs="Arial"/>
        </w:rPr>
        <w:t>SILVA, C.L.</w:t>
      </w:r>
      <w:r w:rsidR="00A40AB1" w:rsidRPr="00816D45">
        <w:rPr>
          <w:rFonts w:ascii="Arial" w:eastAsia="Calibri" w:hAnsi="Arial" w:cs="Arial"/>
        </w:rPr>
        <w:t xml:space="preserve">A. </w:t>
      </w:r>
      <w:r w:rsidR="00A40AB1" w:rsidRPr="0008554A">
        <w:rPr>
          <w:rFonts w:ascii="Arial" w:eastAsia="Calibri" w:hAnsi="Arial" w:cs="Arial"/>
          <w:b/>
        </w:rPr>
        <w:t>Fatores associados ao estado nutricional e ao nível de hemoglobina em idosos: Programa de Saúde da Família, Viçosa-MG</w:t>
      </w:r>
      <w:r w:rsidR="00A40AB1" w:rsidRPr="00816D45">
        <w:rPr>
          <w:rFonts w:ascii="Arial" w:eastAsia="Calibri" w:hAnsi="Arial" w:cs="Arial"/>
        </w:rPr>
        <w:t xml:space="preserve"> [Dissertação de Mestrado]. </w:t>
      </w:r>
      <w:r w:rsidR="00A40AB1" w:rsidRPr="00A40AB1">
        <w:rPr>
          <w:rFonts w:ascii="Arial" w:eastAsia="Calibri" w:hAnsi="Arial" w:cs="Arial"/>
          <w:lang w:val="en-US"/>
        </w:rPr>
        <w:t>Viçosa: Universidade Federal de Viçosa, 2008.</w:t>
      </w:r>
    </w:p>
    <w:p w14:paraId="779A8CAF" w14:textId="77777777" w:rsidR="003C37D7" w:rsidRPr="00FB6249" w:rsidRDefault="003C37D7" w:rsidP="00DE662F">
      <w:pPr>
        <w:spacing w:line="240" w:lineRule="auto"/>
        <w:jc w:val="both"/>
        <w:rPr>
          <w:rFonts w:ascii="Arial" w:eastAsia="Calibri" w:hAnsi="Arial" w:cs="Arial"/>
          <w:lang w:val="en-US"/>
        </w:rPr>
      </w:pPr>
      <w:r w:rsidRPr="00FB6249">
        <w:rPr>
          <w:rFonts w:ascii="Arial" w:eastAsia="Calibri" w:hAnsi="Arial" w:cs="Arial"/>
          <w:lang w:val="en-US"/>
        </w:rPr>
        <w:t xml:space="preserve">WORLD HEALTH ORGANIZATION. </w:t>
      </w:r>
      <w:r w:rsidRPr="00FB6249">
        <w:rPr>
          <w:rFonts w:ascii="Arial" w:eastAsia="Calibri" w:hAnsi="Arial" w:cs="Arial"/>
          <w:b/>
          <w:lang w:val="en-US"/>
        </w:rPr>
        <w:t>Iron Deficiency Anemia: Assessment, Prevention, and Control. A guide for programme managers.</w:t>
      </w:r>
      <w:r w:rsidRPr="00FB6249">
        <w:rPr>
          <w:rFonts w:ascii="Arial" w:eastAsia="Calibri" w:hAnsi="Arial" w:cs="Arial"/>
          <w:lang w:val="en-US"/>
        </w:rPr>
        <w:t xml:space="preserve"> Geneva: WHO, 2001.</w:t>
      </w:r>
    </w:p>
    <w:p w14:paraId="7F1418B2" w14:textId="77777777" w:rsidR="003C37D7" w:rsidRPr="00FB6249" w:rsidRDefault="003C37D7" w:rsidP="00DE662F">
      <w:pPr>
        <w:spacing w:line="240" w:lineRule="auto"/>
        <w:jc w:val="both"/>
        <w:rPr>
          <w:rFonts w:ascii="Arial" w:eastAsia="Calibri" w:hAnsi="Arial" w:cs="Arial"/>
          <w:lang w:val="en-US"/>
        </w:rPr>
      </w:pPr>
      <w:r w:rsidRPr="00FB6249">
        <w:rPr>
          <w:rFonts w:ascii="Arial" w:eastAsia="Calibri" w:hAnsi="Arial" w:cs="Arial"/>
          <w:lang w:val="en-US"/>
        </w:rPr>
        <w:t xml:space="preserve">WORLD HEALTH ORGANIZATION. </w:t>
      </w:r>
      <w:r w:rsidRPr="00FB6249">
        <w:rPr>
          <w:rFonts w:ascii="Arial" w:eastAsia="Calibri" w:hAnsi="Arial" w:cs="Arial"/>
          <w:b/>
          <w:lang w:val="en-US"/>
        </w:rPr>
        <w:t>Worldwide prevalence of anaemia 1993-2005</w:t>
      </w:r>
      <w:r w:rsidRPr="00FB6249">
        <w:rPr>
          <w:rFonts w:ascii="Arial" w:eastAsia="Calibri" w:hAnsi="Arial" w:cs="Arial"/>
          <w:lang w:val="en-US"/>
        </w:rPr>
        <w:t>. WHO: Global database on Anaemia, 2008.</w:t>
      </w:r>
    </w:p>
    <w:p w14:paraId="41046012" w14:textId="77777777" w:rsidR="00E870D0" w:rsidRPr="00FB6249" w:rsidRDefault="00E870D0" w:rsidP="00DE662F">
      <w:pPr>
        <w:spacing w:after="120" w:line="240" w:lineRule="auto"/>
        <w:jc w:val="both"/>
        <w:rPr>
          <w:rFonts w:ascii="Arial" w:hAnsi="Arial" w:cs="Arial"/>
          <w:lang w:val="en-US"/>
        </w:rPr>
      </w:pPr>
    </w:p>
    <w:sectPr w:rsidR="00E870D0" w:rsidRPr="00FB6249" w:rsidSect="00FB6249">
      <w:headerReference w:type="default" r:id="rId8"/>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6428B" w14:textId="77777777" w:rsidR="00AE259D" w:rsidRDefault="00AE259D" w:rsidP="00FF49F6">
      <w:pPr>
        <w:spacing w:after="0" w:line="240" w:lineRule="auto"/>
      </w:pPr>
      <w:r>
        <w:separator/>
      </w:r>
    </w:p>
  </w:endnote>
  <w:endnote w:type="continuationSeparator" w:id="0">
    <w:p w14:paraId="6F16F82F" w14:textId="77777777" w:rsidR="00AE259D" w:rsidRDefault="00AE259D" w:rsidP="00FF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A298B" w14:textId="77777777" w:rsidR="00AE259D" w:rsidRDefault="00AE259D" w:rsidP="00FF49F6">
      <w:pPr>
        <w:spacing w:after="0" w:line="240" w:lineRule="auto"/>
      </w:pPr>
      <w:r>
        <w:separator/>
      </w:r>
    </w:p>
  </w:footnote>
  <w:footnote w:type="continuationSeparator" w:id="0">
    <w:p w14:paraId="38CF221F" w14:textId="77777777" w:rsidR="00AE259D" w:rsidRDefault="00AE259D" w:rsidP="00FF4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FECA" w14:textId="3DC06D72" w:rsidR="000C374F" w:rsidRDefault="000C374F">
    <w:pPr>
      <w:pStyle w:val="Cabealho"/>
    </w:pPr>
  </w:p>
  <w:p w14:paraId="0E77428B" w14:textId="77777777" w:rsidR="00F17680" w:rsidRDefault="00F176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E45"/>
    <w:multiLevelType w:val="hybridMultilevel"/>
    <w:tmpl w:val="391A1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EB6467"/>
    <w:multiLevelType w:val="hybridMultilevel"/>
    <w:tmpl w:val="8A2E9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7F00E8"/>
    <w:multiLevelType w:val="hybridMultilevel"/>
    <w:tmpl w:val="FFAE4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D591076"/>
    <w:multiLevelType w:val="hybridMultilevel"/>
    <w:tmpl w:val="8048D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F51AD3"/>
    <w:multiLevelType w:val="hybridMultilevel"/>
    <w:tmpl w:val="A66CF6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2D1DEB"/>
    <w:multiLevelType w:val="hybridMultilevel"/>
    <w:tmpl w:val="F1CEE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22A3211"/>
    <w:multiLevelType w:val="hybridMultilevel"/>
    <w:tmpl w:val="7E02822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70125A"/>
    <w:multiLevelType w:val="hybridMultilevel"/>
    <w:tmpl w:val="BDE827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38D45C40"/>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3ACE3B7F"/>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8D01286"/>
    <w:multiLevelType w:val="multilevel"/>
    <w:tmpl w:val="A3F2E5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524CE6"/>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A4C6154"/>
    <w:multiLevelType w:val="multilevel"/>
    <w:tmpl w:val="C0400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639F10F4"/>
    <w:multiLevelType w:val="hybridMultilevel"/>
    <w:tmpl w:val="068C85A8"/>
    <w:lvl w:ilvl="0" w:tplc="F43899D6">
      <w:start w:val="1"/>
      <w:numFmt w:val="bullet"/>
      <w:lvlText w:val="•"/>
      <w:lvlJc w:val="left"/>
      <w:pPr>
        <w:tabs>
          <w:tab w:val="num" w:pos="720"/>
        </w:tabs>
        <w:ind w:left="720" w:hanging="360"/>
      </w:pPr>
      <w:rPr>
        <w:rFonts w:ascii="Arial" w:hAnsi="Arial" w:hint="default"/>
      </w:rPr>
    </w:lvl>
    <w:lvl w:ilvl="1" w:tplc="4120E4D8" w:tentative="1">
      <w:start w:val="1"/>
      <w:numFmt w:val="bullet"/>
      <w:lvlText w:val="•"/>
      <w:lvlJc w:val="left"/>
      <w:pPr>
        <w:tabs>
          <w:tab w:val="num" w:pos="1440"/>
        </w:tabs>
        <w:ind w:left="1440" w:hanging="360"/>
      </w:pPr>
      <w:rPr>
        <w:rFonts w:ascii="Arial" w:hAnsi="Arial" w:hint="default"/>
      </w:rPr>
    </w:lvl>
    <w:lvl w:ilvl="2" w:tplc="AE58179A" w:tentative="1">
      <w:start w:val="1"/>
      <w:numFmt w:val="bullet"/>
      <w:lvlText w:val="•"/>
      <w:lvlJc w:val="left"/>
      <w:pPr>
        <w:tabs>
          <w:tab w:val="num" w:pos="2160"/>
        </w:tabs>
        <w:ind w:left="2160" w:hanging="360"/>
      </w:pPr>
      <w:rPr>
        <w:rFonts w:ascii="Arial" w:hAnsi="Arial" w:hint="default"/>
      </w:rPr>
    </w:lvl>
    <w:lvl w:ilvl="3" w:tplc="C91A892A" w:tentative="1">
      <w:start w:val="1"/>
      <w:numFmt w:val="bullet"/>
      <w:lvlText w:val="•"/>
      <w:lvlJc w:val="left"/>
      <w:pPr>
        <w:tabs>
          <w:tab w:val="num" w:pos="2880"/>
        </w:tabs>
        <w:ind w:left="2880" w:hanging="360"/>
      </w:pPr>
      <w:rPr>
        <w:rFonts w:ascii="Arial" w:hAnsi="Arial" w:hint="default"/>
      </w:rPr>
    </w:lvl>
    <w:lvl w:ilvl="4" w:tplc="B2FCF940" w:tentative="1">
      <w:start w:val="1"/>
      <w:numFmt w:val="bullet"/>
      <w:lvlText w:val="•"/>
      <w:lvlJc w:val="left"/>
      <w:pPr>
        <w:tabs>
          <w:tab w:val="num" w:pos="3600"/>
        </w:tabs>
        <w:ind w:left="3600" w:hanging="360"/>
      </w:pPr>
      <w:rPr>
        <w:rFonts w:ascii="Arial" w:hAnsi="Arial" w:hint="default"/>
      </w:rPr>
    </w:lvl>
    <w:lvl w:ilvl="5" w:tplc="CE38CF3E" w:tentative="1">
      <w:start w:val="1"/>
      <w:numFmt w:val="bullet"/>
      <w:lvlText w:val="•"/>
      <w:lvlJc w:val="left"/>
      <w:pPr>
        <w:tabs>
          <w:tab w:val="num" w:pos="4320"/>
        </w:tabs>
        <w:ind w:left="4320" w:hanging="360"/>
      </w:pPr>
      <w:rPr>
        <w:rFonts w:ascii="Arial" w:hAnsi="Arial" w:hint="default"/>
      </w:rPr>
    </w:lvl>
    <w:lvl w:ilvl="6" w:tplc="08EA52F0" w:tentative="1">
      <w:start w:val="1"/>
      <w:numFmt w:val="bullet"/>
      <w:lvlText w:val="•"/>
      <w:lvlJc w:val="left"/>
      <w:pPr>
        <w:tabs>
          <w:tab w:val="num" w:pos="5040"/>
        </w:tabs>
        <w:ind w:left="5040" w:hanging="360"/>
      </w:pPr>
      <w:rPr>
        <w:rFonts w:ascii="Arial" w:hAnsi="Arial" w:hint="default"/>
      </w:rPr>
    </w:lvl>
    <w:lvl w:ilvl="7" w:tplc="3022F1D0" w:tentative="1">
      <w:start w:val="1"/>
      <w:numFmt w:val="bullet"/>
      <w:lvlText w:val="•"/>
      <w:lvlJc w:val="left"/>
      <w:pPr>
        <w:tabs>
          <w:tab w:val="num" w:pos="5760"/>
        </w:tabs>
        <w:ind w:left="5760" w:hanging="360"/>
      </w:pPr>
      <w:rPr>
        <w:rFonts w:ascii="Arial" w:hAnsi="Arial" w:hint="default"/>
      </w:rPr>
    </w:lvl>
    <w:lvl w:ilvl="8" w:tplc="610200D6" w:tentative="1">
      <w:start w:val="1"/>
      <w:numFmt w:val="bullet"/>
      <w:lvlText w:val="•"/>
      <w:lvlJc w:val="left"/>
      <w:pPr>
        <w:tabs>
          <w:tab w:val="num" w:pos="6480"/>
        </w:tabs>
        <w:ind w:left="6480" w:hanging="360"/>
      </w:pPr>
      <w:rPr>
        <w:rFonts w:ascii="Arial" w:hAnsi="Arial" w:hint="default"/>
      </w:rPr>
    </w:lvl>
  </w:abstractNum>
  <w:abstractNum w:abstractNumId="14">
    <w:nsid w:val="68DB7595"/>
    <w:multiLevelType w:val="hybridMultilevel"/>
    <w:tmpl w:val="108E76B8"/>
    <w:lvl w:ilvl="0" w:tplc="5226FBEC">
      <w:start w:val="2"/>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555C47"/>
    <w:multiLevelType w:val="multilevel"/>
    <w:tmpl w:val="A7A290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760C74EE"/>
    <w:multiLevelType w:val="multilevel"/>
    <w:tmpl w:val="DEC60A4A"/>
    <w:lvl w:ilvl="0">
      <w:start w:val="1"/>
      <w:numFmt w:val="decimal"/>
      <w:lvlText w:val="%1."/>
      <w:lvlJc w:val="left"/>
      <w:pPr>
        <w:ind w:left="720" w:hanging="360"/>
      </w:pPr>
      <w:rPr>
        <w:rFonts w:ascii="Arial" w:eastAsiaTheme="minorHAnsi" w:hAnsi="Arial" w:cs="Arial"/>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9852D8"/>
    <w:multiLevelType w:val="multilevel"/>
    <w:tmpl w:val="1646C14C"/>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nsid w:val="7B763D91"/>
    <w:multiLevelType w:val="multilevel"/>
    <w:tmpl w:val="26028E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3"/>
  </w:num>
  <w:num w:numId="4">
    <w:abstractNumId w:val="11"/>
  </w:num>
  <w:num w:numId="5">
    <w:abstractNumId w:val="9"/>
  </w:num>
  <w:num w:numId="6">
    <w:abstractNumId w:val="8"/>
  </w:num>
  <w:num w:numId="7">
    <w:abstractNumId w:val="12"/>
  </w:num>
  <w:num w:numId="8">
    <w:abstractNumId w:val="14"/>
  </w:num>
  <w:num w:numId="9">
    <w:abstractNumId w:val="16"/>
  </w:num>
  <w:num w:numId="10">
    <w:abstractNumId w:val="18"/>
  </w:num>
  <w:num w:numId="11">
    <w:abstractNumId w:val="17"/>
  </w:num>
  <w:num w:numId="12">
    <w:abstractNumId w:val="10"/>
  </w:num>
  <w:num w:numId="13">
    <w:abstractNumId w:val="15"/>
  </w:num>
  <w:num w:numId="14">
    <w:abstractNumId w:val="2"/>
  </w:num>
  <w:num w:numId="15">
    <w:abstractNumId w:val="4"/>
  </w:num>
  <w:num w:numId="16">
    <w:abstractNumId w:val="6"/>
  </w:num>
  <w:num w:numId="17">
    <w:abstractNumId w:val="0"/>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419" w:vendorID="64" w:dllVersion="0" w:nlCheck="1" w:checkStyle="0"/>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49"/>
    <w:rsid w:val="000032EF"/>
    <w:rsid w:val="00003E09"/>
    <w:rsid w:val="00004284"/>
    <w:rsid w:val="000050C9"/>
    <w:rsid w:val="00005B22"/>
    <w:rsid w:val="00006207"/>
    <w:rsid w:val="00007E56"/>
    <w:rsid w:val="000105E9"/>
    <w:rsid w:val="00013550"/>
    <w:rsid w:val="00014F74"/>
    <w:rsid w:val="000155C9"/>
    <w:rsid w:val="000227F8"/>
    <w:rsid w:val="00022A6C"/>
    <w:rsid w:val="00025926"/>
    <w:rsid w:val="00026B3E"/>
    <w:rsid w:val="00026C1C"/>
    <w:rsid w:val="0002704D"/>
    <w:rsid w:val="00027E60"/>
    <w:rsid w:val="0003068C"/>
    <w:rsid w:val="000307A3"/>
    <w:rsid w:val="00031204"/>
    <w:rsid w:val="0003270B"/>
    <w:rsid w:val="00032F58"/>
    <w:rsid w:val="0003329C"/>
    <w:rsid w:val="00033E3C"/>
    <w:rsid w:val="00036019"/>
    <w:rsid w:val="00036BBC"/>
    <w:rsid w:val="0004255F"/>
    <w:rsid w:val="0004546D"/>
    <w:rsid w:val="00046131"/>
    <w:rsid w:val="00047060"/>
    <w:rsid w:val="00050720"/>
    <w:rsid w:val="00052A91"/>
    <w:rsid w:val="0005341D"/>
    <w:rsid w:val="0005383A"/>
    <w:rsid w:val="00053ED0"/>
    <w:rsid w:val="0006117B"/>
    <w:rsid w:val="00061CC7"/>
    <w:rsid w:val="00061F92"/>
    <w:rsid w:val="000626AA"/>
    <w:rsid w:val="000666AE"/>
    <w:rsid w:val="00066E25"/>
    <w:rsid w:val="00067FE0"/>
    <w:rsid w:val="00070A99"/>
    <w:rsid w:val="000713A5"/>
    <w:rsid w:val="00073180"/>
    <w:rsid w:val="00074D50"/>
    <w:rsid w:val="00075DFD"/>
    <w:rsid w:val="00076E78"/>
    <w:rsid w:val="00080E87"/>
    <w:rsid w:val="000817C3"/>
    <w:rsid w:val="00081845"/>
    <w:rsid w:val="00083CCD"/>
    <w:rsid w:val="00084428"/>
    <w:rsid w:val="000845A2"/>
    <w:rsid w:val="0008554A"/>
    <w:rsid w:val="0008645E"/>
    <w:rsid w:val="0008668D"/>
    <w:rsid w:val="00090A93"/>
    <w:rsid w:val="00091A0D"/>
    <w:rsid w:val="000922CD"/>
    <w:rsid w:val="0009295F"/>
    <w:rsid w:val="00094ACC"/>
    <w:rsid w:val="00094B16"/>
    <w:rsid w:val="00097DB0"/>
    <w:rsid w:val="000A0524"/>
    <w:rsid w:val="000A09AB"/>
    <w:rsid w:val="000A2084"/>
    <w:rsid w:val="000A3320"/>
    <w:rsid w:val="000A417A"/>
    <w:rsid w:val="000A42AB"/>
    <w:rsid w:val="000A62C0"/>
    <w:rsid w:val="000A6EBC"/>
    <w:rsid w:val="000B022A"/>
    <w:rsid w:val="000B08AE"/>
    <w:rsid w:val="000B15AE"/>
    <w:rsid w:val="000B1C67"/>
    <w:rsid w:val="000B318A"/>
    <w:rsid w:val="000B3326"/>
    <w:rsid w:val="000B3446"/>
    <w:rsid w:val="000B34B6"/>
    <w:rsid w:val="000B37FA"/>
    <w:rsid w:val="000B3FE2"/>
    <w:rsid w:val="000B50C3"/>
    <w:rsid w:val="000B5508"/>
    <w:rsid w:val="000B6EE8"/>
    <w:rsid w:val="000B7436"/>
    <w:rsid w:val="000B76A5"/>
    <w:rsid w:val="000C014C"/>
    <w:rsid w:val="000C1264"/>
    <w:rsid w:val="000C1AE1"/>
    <w:rsid w:val="000C2BBA"/>
    <w:rsid w:val="000C374F"/>
    <w:rsid w:val="000C3902"/>
    <w:rsid w:val="000C4863"/>
    <w:rsid w:val="000C5934"/>
    <w:rsid w:val="000C6F8A"/>
    <w:rsid w:val="000C763A"/>
    <w:rsid w:val="000D086D"/>
    <w:rsid w:val="000D1BEF"/>
    <w:rsid w:val="000D33A1"/>
    <w:rsid w:val="000D48A7"/>
    <w:rsid w:val="000D6241"/>
    <w:rsid w:val="000D68C6"/>
    <w:rsid w:val="000E05E2"/>
    <w:rsid w:val="000E4B12"/>
    <w:rsid w:val="000E4EEF"/>
    <w:rsid w:val="000E5BA1"/>
    <w:rsid w:val="000E6723"/>
    <w:rsid w:val="000E7189"/>
    <w:rsid w:val="000E779C"/>
    <w:rsid w:val="000E7FC8"/>
    <w:rsid w:val="000F1B52"/>
    <w:rsid w:val="000F1C40"/>
    <w:rsid w:val="000F1C68"/>
    <w:rsid w:val="000F1CBB"/>
    <w:rsid w:val="000F1EDE"/>
    <w:rsid w:val="000F2EC7"/>
    <w:rsid w:val="000F32FE"/>
    <w:rsid w:val="000F428F"/>
    <w:rsid w:val="000F587B"/>
    <w:rsid w:val="000F78BF"/>
    <w:rsid w:val="00100E6B"/>
    <w:rsid w:val="00101550"/>
    <w:rsid w:val="00101732"/>
    <w:rsid w:val="00102006"/>
    <w:rsid w:val="0010298D"/>
    <w:rsid w:val="001032E3"/>
    <w:rsid w:val="00103908"/>
    <w:rsid w:val="001042A2"/>
    <w:rsid w:val="00105860"/>
    <w:rsid w:val="00105AE1"/>
    <w:rsid w:val="00106A4D"/>
    <w:rsid w:val="00107AF5"/>
    <w:rsid w:val="00107B55"/>
    <w:rsid w:val="00110EC1"/>
    <w:rsid w:val="00111199"/>
    <w:rsid w:val="00113FB9"/>
    <w:rsid w:val="00114063"/>
    <w:rsid w:val="001160F1"/>
    <w:rsid w:val="00116740"/>
    <w:rsid w:val="00116CC3"/>
    <w:rsid w:val="00116FAB"/>
    <w:rsid w:val="00117560"/>
    <w:rsid w:val="0012012F"/>
    <w:rsid w:val="00121D11"/>
    <w:rsid w:val="00125067"/>
    <w:rsid w:val="00125109"/>
    <w:rsid w:val="00125154"/>
    <w:rsid w:val="00127EA4"/>
    <w:rsid w:val="00130679"/>
    <w:rsid w:val="00131D5E"/>
    <w:rsid w:val="00131D7D"/>
    <w:rsid w:val="0013350E"/>
    <w:rsid w:val="00135401"/>
    <w:rsid w:val="00136230"/>
    <w:rsid w:val="00137B64"/>
    <w:rsid w:val="00137DB8"/>
    <w:rsid w:val="0014008B"/>
    <w:rsid w:val="00140308"/>
    <w:rsid w:val="001422D2"/>
    <w:rsid w:val="001424E3"/>
    <w:rsid w:val="00142EC2"/>
    <w:rsid w:val="001430B2"/>
    <w:rsid w:val="00143F86"/>
    <w:rsid w:val="0014401D"/>
    <w:rsid w:val="001468CE"/>
    <w:rsid w:val="00146A23"/>
    <w:rsid w:val="00150054"/>
    <w:rsid w:val="00150B11"/>
    <w:rsid w:val="00150F69"/>
    <w:rsid w:val="0015137B"/>
    <w:rsid w:val="00152282"/>
    <w:rsid w:val="00153374"/>
    <w:rsid w:val="001539F4"/>
    <w:rsid w:val="00153B46"/>
    <w:rsid w:val="001546C3"/>
    <w:rsid w:val="00155672"/>
    <w:rsid w:val="00155E3C"/>
    <w:rsid w:val="00155F21"/>
    <w:rsid w:val="00156884"/>
    <w:rsid w:val="00156C09"/>
    <w:rsid w:val="00157311"/>
    <w:rsid w:val="00157A6E"/>
    <w:rsid w:val="00157A99"/>
    <w:rsid w:val="00160C26"/>
    <w:rsid w:val="001612A4"/>
    <w:rsid w:val="00161A70"/>
    <w:rsid w:val="00161BB4"/>
    <w:rsid w:val="00163D87"/>
    <w:rsid w:val="00165679"/>
    <w:rsid w:val="00165B28"/>
    <w:rsid w:val="00165C8E"/>
    <w:rsid w:val="00166ADC"/>
    <w:rsid w:val="001678E3"/>
    <w:rsid w:val="00170579"/>
    <w:rsid w:val="0017363A"/>
    <w:rsid w:val="00176A6E"/>
    <w:rsid w:val="00176C17"/>
    <w:rsid w:val="00176D14"/>
    <w:rsid w:val="001812B4"/>
    <w:rsid w:val="00181C9A"/>
    <w:rsid w:val="00182A12"/>
    <w:rsid w:val="0018378F"/>
    <w:rsid w:val="001844C9"/>
    <w:rsid w:val="00185274"/>
    <w:rsid w:val="0018723D"/>
    <w:rsid w:val="00187515"/>
    <w:rsid w:val="001875E0"/>
    <w:rsid w:val="00190144"/>
    <w:rsid w:val="00190602"/>
    <w:rsid w:val="00190630"/>
    <w:rsid w:val="00190AD4"/>
    <w:rsid w:val="00190DA6"/>
    <w:rsid w:val="001934FE"/>
    <w:rsid w:val="00193FB8"/>
    <w:rsid w:val="00195B10"/>
    <w:rsid w:val="001967A2"/>
    <w:rsid w:val="001970EF"/>
    <w:rsid w:val="001974CA"/>
    <w:rsid w:val="001974DB"/>
    <w:rsid w:val="001A0679"/>
    <w:rsid w:val="001A1261"/>
    <w:rsid w:val="001A233F"/>
    <w:rsid w:val="001A2FD0"/>
    <w:rsid w:val="001A3D53"/>
    <w:rsid w:val="001A3DA4"/>
    <w:rsid w:val="001A5186"/>
    <w:rsid w:val="001A6047"/>
    <w:rsid w:val="001A6A36"/>
    <w:rsid w:val="001A6A8B"/>
    <w:rsid w:val="001A6E58"/>
    <w:rsid w:val="001B062A"/>
    <w:rsid w:val="001B0D76"/>
    <w:rsid w:val="001B1927"/>
    <w:rsid w:val="001B2808"/>
    <w:rsid w:val="001B3B5B"/>
    <w:rsid w:val="001B48DD"/>
    <w:rsid w:val="001B48F5"/>
    <w:rsid w:val="001B6BAE"/>
    <w:rsid w:val="001C02EC"/>
    <w:rsid w:val="001C083D"/>
    <w:rsid w:val="001C0AEF"/>
    <w:rsid w:val="001C187A"/>
    <w:rsid w:val="001C1EC3"/>
    <w:rsid w:val="001C2416"/>
    <w:rsid w:val="001C297D"/>
    <w:rsid w:val="001C304D"/>
    <w:rsid w:val="001C38EC"/>
    <w:rsid w:val="001C3BC1"/>
    <w:rsid w:val="001C403D"/>
    <w:rsid w:val="001C5ED8"/>
    <w:rsid w:val="001C6AA1"/>
    <w:rsid w:val="001C7325"/>
    <w:rsid w:val="001C753F"/>
    <w:rsid w:val="001C75C2"/>
    <w:rsid w:val="001C75D9"/>
    <w:rsid w:val="001C789E"/>
    <w:rsid w:val="001C7934"/>
    <w:rsid w:val="001D11CE"/>
    <w:rsid w:val="001D1716"/>
    <w:rsid w:val="001D1FA1"/>
    <w:rsid w:val="001D200F"/>
    <w:rsid w:val="001D3327"/>
    <w:rsid w:val="001D3D39"/>
    <w:rsid w:val="001D466D"/>
    <w:rsid w:val="001D5CCD"/>
    <w:rsid w:val="001D6759"/>
    <w:rsid w:val="001D7F2E"/>
    <w:rsid w:val="001E0997"/>
    <w:rsid w:val="001E2217"/>
    <w:rsid w:val="001E2C47"/>
    <w:rsid w:val="001E34FB"/>
    <w:rsid w:val="001E72B6"/>
    <w:rsid w:val="001F2312"/>
    <w:rsid w:val="001F2D99"/>
    <w:rsid w:val="001F3873"/>
    <w:rsid w:val="001F427D"/>
    <w:rsid w:val="001F4419"/>
    <w:rsid w:val="001F4E6B"/>
    <w:rsid w:val="001F75EB"/>
    <w:rsid w:val="00201CF4"/>
    <w:rsid w:val="00202805"/>
    <w:rsid w:val="00204CC8"/>
    <w:rsid w:val="00204E6F"/>
    <w:rsid w:val="002050EA"/>
    <w:rsid w:val="00205AAC"/>
    <w:rsid w:val="002070A9"/>
    <w:rsid w:val="00207388"/>
    <w:rsid w:val="002076B8"/>
    <w:rsid w:val="00207F70"/>
    <w:rsid w:val="002110CE"/>
    <w:rsid w:val="00212371"/>
    <w:rsid w:val="00212D99"/>
    <w:rsid w:val="00213373"/>
    <w:rsid w:val="002135E2"/>
    <w:rsid w:val="00214AFC"/>
    <w:rsid w:val="002154F7"/>
    <w:rsid w:val="00216326"/>
    <w:rsid w:val="00216BF0"/>
    <w:rsid w:val="002174B2"/>
    <w:rsid w:val="00217DC8"/>
    <w:rsid w:val="002218FD"/>
    <w:rsid w:val="00222271"/>
    <w:rsid w:val="00223637"/>
    <w:rsid w:val="002237B3"/>
    <w:rsid w:val="0022617B"/>
    <w:rsid w:val="00231D5A"/>
    <w:rsid w:val="00232CA2"/>
    <w:rsid w:val="00232E09"/>
    <w:rsid w:val="002337CA"/>
    <w:rsid w:val="00234DB7"/>
    <w:rsid w:val="00235A18"/>
    <w:rsid w:val="002379DF"/>
    <w:rsid w:val="00240339"/>
    <w:rsid w:val="0024077F"/>
    <w:rsid w:val="002407F0"/>
    <w:rsid w:val="00240B2A"/>
    <w:rsid w:val="00241237"/>
    <w:rsid w:val="00241401"/>
    <w:rsid w:val="0024338D"/>
    <w:rsid w:val="0024349B"/>
    <w:rsid w:val="00244A7F"/>
    <w:rsid w:val="00244C74"/>
    <w:rsid w:val="0024519D"/>
    <w:rsid w:val="002454AE"/>
    <w:rsid w:val="002465ED"/>
    <w:rsid w:val="0024681D"/>
    <w:rsid w:val="00247506"/>
    <w:rsid w:val="0025034A"/>
    <w:rsid w:val="00250672"/>
    <w:rsid w:val="002518F2"/>
    <w:rsid w:val="00251D8E"/>
    <w:rsid w:val="00252829"/>
    <w:rsid w:val="002535BB"/>
    <w:rsid w:val="0025428B"/>
    <w:rsid w:val="002542B0"/>
    <w:rsid w:val="0025571B"/>
    <w:rsid w:val="00260D5E"/>
    <w:rsid w:val="00261CBF"/>
    <w:rsid w:val="00263991"/>
    <w:rsid w:val="00263A51"/>
    <w:rsid w:val="00264509"/>
    <w:rsid w:val="002649CC"/>
    <w:rsid w:val="00265BEE"/>
    <w:rsid w:val="00265EFD"/>
    <w:rsid w:val="00270303"/>
    <w:rsid w:val="002719FE"/>
    <w:rsid w:val="00271B1B"/>
    <w:rsid w:val="00271D72"/>
    <w:rsid w:val="002720B7"/>
    <w:rsid w:val="00272C73"/>
    <w:rsid w:val="0027513D"/>
    <w:rsid w:val="002803E1"/>
    <w:rsid w:val="002855EC"/>
    <w:rsid w:val="0028695A"/>
    <w:rsid w:val="00286D4F"/>
    <w:rsid w:val="00294135"/>
    <w:rsid w:val="00294CCE"/>
    <w:rsid w:val="002A0810"/>
    <w:rsid w:val="002A152F"/>
    <w:rsid w:val="002A1F50"/>
    <w:rsid w:val="002A3236"/>
    <w:rsid w:val="002A4AE1"/>
    <w:rsid w:val="002A4CCC"/>
    <w:rsid w:val="002A7328"/>
    <w:rsid w:val="002A7694"/>
    <w:rsid w:val="002A7BE8"/>
    <w:rsid w:val="002B03F2"/>
    <w:rsid w:val="002B31BC"/>
    <w:rsid w:val="002B411A"/>
    <w:rsid w:val="002B4635"/>
    <w:rsid w:val="002B4BD7"/>
    <w:rsid w:val="002B671C"/>
    <w:rsid w:val="002C129B"/>
    <w:rsid w:val="002C16D6"/>
    <w:rsid w:val="002C1B2D"/>
    <w:rsid w:val="002C29AD"/>
    <w:rsid w:val="002C2E5B"/>
    <w:rsid w:val="002C2F61"/>
    <w:rsid w:val="002C3102"/>
    <w:rsid w:val="002C3BBB"/>
    <w:rsid w:val="002C5316"/>
    <w:rsid w:val="002C557C"/>
    <w:rsid w:val="002C7663"/>
    <w:rsid w:val="002C7CD6"/>
    <w:rsid w:val="002D0F7A"/>
    <w:rsid w:val="002D0FAF"/>
    <w:rsid w:val="002D109D"/>
    <w:rsid w:val="002D14DE"/>
    <w:rsid w:val="002D14EA"/>
    <w:rsid w:val="002D1C0E"/>
    <w:rsid w:val="002D6B1E"/>
    <w:rsid w:val="002D755D"/>
    <w:rsid w:val="002D7581"/>
    <w:rsid w:val="002E23BB"/>
    <w:rsid w:val="002E2D23"/>
    <w:rsid w:val="002E3EBF"/>
    <w:rsid w:val="002E42FF"/>
    <w:rsid w:val="002E53AD"/>
    <w:rsid w:val="002E5B0F"/>
    <w:rsid w:val="002E5C63"/>
    <w:rsid w:val="002F2327"/>
    <w:rsid w:val="002F3FA1"/>
    <w:rsid w:val="002F4019"/>
    <w:rsid w:val="002F440C"/>
    <w:rsid w:val="002F49E4"/>
    <w:rsid w:val="002F54E0"/>
    <w:rsid w:val="002F56B3"/>
    <w:rsid w:val="002F56ED"/>
    <w:rsid w:val="002F6997"/>
    <w:rsid w:val="002F6AA6"/>
    <w:rsid w:val="002F7E44"/>
    <w:rsid w:val="003007BD"/>
    <w:rsid w:val="0030083D"/>
    <w:rsid w:val="003014E0"/>
    <w:rsid w:val="00301C47"/>
    <w:rsid w:val="003034A5"/>
    <w:rsid w:val="00303C70"/>
    <w:rsid w:val="00303E52"/>
    <w:rsid w:val="003061FC"/>
    <w:rsid w:val="00307258"/>
    <w:rsid w:val="003077A6"/>
    <w:rsid w:val="00310114"/>
    <w:rsid w:val="003126AD"/>
    <w:rsid w:val="00315AD2"/>
    <w:rsid w:val="00320B05"/>
    <w:rsid w:val="00321565"/>
    <w:rsid w:val="00321D2F"/>
    <w:rsid w:val="00322C95"/>
    <w:rsid w:val="00322DCA"/>
    <w:rsid w:val="0032377E"/>
    <w:rsid w:val="0032413B"/>
    <w:rsid w:val="003246A2"/>
    <w:rsid w:val="00327062"/>
    <w:rsid w:val="00327E37"/>
    <w:rsid w:val="00330733"/>
    <w:rsid w:val="00330918"/>
    <w:rsid w:val="00330FAF"/>
    <w:rsid w:val="003326DD"/>
    <w:rsid w:val="003328ED"/>
    <w:rsid w:val="003328EE"/>
    <w:rsid w:val="00332DC4"/>
    <w:rsid w:val="0033386B"/>
    <w:rsid w:val="003343B2"/>
    <w:rsid w:val="00336307"/>
    <w:rsid w:val="00336F2E"/>
    <w:rsid w:val="003401A9"/>
    <w:rsid w:val="00340717"/>
    <w:rsid w:val="00341048"/>
    <w:rsid w:val="00342087"/>
    <w:rsid w:val="0034551D"/>
    <w:rsid w:val="0034567B"/>
    <w:rsid w:val="00346066"/>
    <w:rsid w:val="003513FD"/>
    <w:rsid w:val="00352117"/>
    <w:rsid w:val="00352B7B"/>
    <w:rsid w:val="00355F3C"/>
    <w:rsid w:val="00356C53"/>
    <w:rsid w:val="00357D8F"/>
    <w:rsid w:val="00362C93"/>
    <w:rsid w:val="00364CFF"/>
    <w:rsid w:val="00364D5B"/>
    <w:rsid w:val="0036545B"/>
    <w:rsid w:val="003658A7"/>
    <w:rsid w:val="0036744E"/>
    <w:rsid w:val="003720FB"/>
    <w:rsid w:val="00372A9C"/>
    <w:rsid w:val="00372D01"/>
    <w:rsid w:val="00372D65"/>
    <w:rsid w:val="00375D66"/>
    <w:rsid w:val="00376EF2"/>
    <w:rsid w:val="00377209"/>
    <w:rsid w:val="0037725A"/>
    <w:rsid w:val="003772B4"/>
    <w:rsid w:val="00377A66"/>
    <w:rsid w:val="003808BA"/>
    <w:rsid w:val="00381284"/>
    <w:rsid w:val="003817FE"/>
    <w:rsid w:val="003860A2"/>
    <w:rsid w:val="00391F73"/>
    <w:rsid w:val="00392161"/>
    <w:rsid w:val="00393510"/>
    <w:rsid w:val="0039398C"/>
    <w:rsid w:val="00393DE6"/>
    <w:rsid w:val="0039468D"/>
    <w:rsid w:val="00394A50"/>
    <w:rsid w:val="00395821"/>
    <w:rsid w:val="00397A3E"/>
    <w:rsid w:val="00397BCB"/>
    <w:rsid w:val="003A5911"/>
    <w:rsid w:val="003A7471"/>
    <w:rsid w:val="003B16C5"/>
    <w:rsid w:val="003B2DBB"/>
    <w:rsid w:val="003B4156"/>
    <w:rsid w:val="003B4D9E"/>
    <w:rsid w:val="003B571B"/>
    <w:rsid w:val="003B57D0"/>
    <w:rsid w:val="003B6100"/>
    <w:rsid w:val="003B6F43"/>
    <w:rsid w:val="003C0817"/>
    <w:rsid w:val="003C0C26"/>
    <w:rsid w:val="003C2401"/>
    <w:rsid w:val="003C37D7"/>
    <w:rsid w:val="003C3C91"/>
    <w:rsid w:val="003C460E"/>
    <w:rsid w:val="003C70C0"/>
    <w:rsid w:val="003D201A"/>
    <w:rsid w:val="003D3A56"/>
    <w:rsid w:val="003D4DD1"/>
    <w:rsid w:val="003D54D2"/>
    <w:rsid w:val="003D5D05"/>
    <w:rsid w:val="003D7D55"/>
    <w:rsid w:val="003E2698"/>
    <w:rsid w:val="003E4890"/>
    <w:rsid w:val="003E5844"/>
    <w:rsid w:val="003E60F2"/>
    <w:rsid w:val="003E7102"/>
    <w:rsid w:val="003F060A"/>
    <w:rsid w:val="003F1390"/>
    <w:rsid w:val="003F1F1C"/>
    <w:rsid w:val="003F5551"/>
    <w:rsid w:val="00400E22"/>
    <w:rsid w:val="00401046"/>
    <w:rsid w:val="00401F29"/>
    <w:rsid w:val="00402DFD"/>
    <w:rsid w:val="00403DDB"/>
    <w:rsid w:val="00405B40"/>
    <w:rsid w:val="004067E2"/>
    <w:rsid w:val="00407819"/>
    <w:rsid w:val="004102AF"/>
    <w:rsid w:val="00410364"/>
    <w:rsid w:val="004118DC"/>
    <w:rsid w:val="00413B9B"/>
    <w:rsid w:val="00414E60"/>
    <w:rsid w:val="004154BA"/>
    <w:rsid w:val="004167C1"/>
    <w:rsid w:val="004210BA"/>
    <w:rsid w:val="00422408"/>
    <w:rsid w:val="004241CF"/>
    <w:rsid w:val="00424573"/>
    <w:rsid w:val="0042732A"/>
    <w:rsid w:val="0042770A"/>
    <w:rsid w:val="00430171"/>
    <w:rsid w:val="00431118"/>
    <w:rsid w:val="00431460"/>
    <w:rsid w:val="00431621"/>
    <w:rsid w:val="00431768"/>
    <w:rsid w:val="00431944"/>
    <w:rsid w:val="00433E32"/>
    <w:rsid w:val="00433FDA"/>
    <w:rsid w:val="004342CA"/>
    <w:rsid w:val="0043701D"/>
    <w:rsid w:val="0043703B"/>
    <w:rsid w:val="00437A44"/>
    <w:rsid w:val="00437CC2"/>
    <w:rsid w:val="00440496"/>
    <w:rsid w:val="0044122B"/>
    <w:rsid w:val="0044291A"/>
    <w:rsid w:val="00443069"/>
    <w:rsid w:val="00443F65"/>
    <w:rsid w:val="004446D5"/>
    <w:rsid w:val="00445D7D"/>
    <w:rsid w:val="0044691B"/>
    <w:rsid w:val="00447927"/>
    <w:rsid w:val="00447D67"/>
    <w:rsid w:val="0045149E"/>
    <w:rsid w:val="00451749"/>
    <w:rsid w:val="004534F8"/>
    <w:rsid w:val="00453717"/>
    <w:rsid w:val="004537DA"/>
    <w:rsid w:val="00453D68"/>
    <w:rsid w:val="004544BD"/>
    <w:rsid w:val="004545EE"/>
    <w:rsid w:val="00455292"/>
    <w:rsid w:val="00456814"/>
    <w:rsid w:val="004570F4"/>
    <w:rsid w:val="00457E4E"/>
    <w:rsid w:val="00460810"/>
    <w:rsid w:val="00461448"/>
    <w:rsid w:val="004630B2"/>
    <w:rsid w:val="00465367"/>
    <w:rsid w:val="00465F2D"/>
    <w:rsid w:val="004663F1"/>
    <w:rsid w:val="0046669E"/>
    <w:rsid w:val="00466E55"/>
    <w:rsid w:val="0046710E"/>
    <w:rsid w:val="00467229"/>
    <w:rsid w:val="00467673"/>
    <w:rsid w:val="00470194"/>
    <w:rsid w:val="004711A9"/>
    <w:rsid w:val="00471D07"/>
    <w:rsid w:val="00471DCD"/>
    <w:rsid w:val="0047289B"/>
    <w:rsid w:val="00472F12"/>
    <w:rsid w:val="0047530C"/>
    <w:rsid w:val="0048086F"/>
    <w:rsid w:val="00480C2B"/>
    <w:rsid w:val="00480D9E"/>
    <w:rsid w:val="004822CC"/>
    <w:rsid w:val="00482BDE"/>
    <w:rsid w:val="00482ED5"/>
    <w:rsid w:val="004837E2"/>
    <w:rsid w:val="00484264"/>
    <w:rsid w:val="00485523"/>
    <w:rsid w:val="00485820"/>
    <w:rsid w:val="00487698"/>
    <w:rsid w:val="0049060E"/>
    <w:rsid w:val="0049224E"/>
    <w:rsid w:val="00492E3B"/>
    <w:rsid w:val="004939A4"/>
    <w:rsid w:val="004946A6"/>
    <w:rsid w:val="0049480D"/>
    <w:rsid w:val="00495068"/>
    <w:rsid w:val="00495383"/>
    <w:rsid w:val="004A0310"/>
    <w:rsid w:val="004A0451"/>
    <w:rsid w:val="004A1CE4"/>
    <w:rsid w:val="004A1DE3"/>
    <w:rsid w:val="004A1FAC"/>
    <w:rsid w:val="004A2440"/>
    <w:rsid w:val="004A2A34"/>
    <w:rsid w:val="004A2D8F"/>
    <w:rsid w:val="004A45EE"/>
    <w:rsid w:val="004A4646"/>
    <w:rsid w:val="004A47A5"/>
    <w:rsid w:val="004A57D4"/>
    <w:rsid w:val="004A750A"/>
    <w:rsid w:val="004A7B66"/>
    <w:rsid w:val="004B09F7"/>
    <w:rsid w:val="004B3330"/>
    <w:rsid w:val="004B484F"/>
    <w:rsid w:val="004B4B8A"/>
    <w:rsid w:val="004B4DB2"/>
    <w:rsid w:val="004B77AE"/>
    <w:rsid w:val="004B77F4"/>
    <w:rsid w:val="004C02B2"/>
    <w:rsid w:val="004C1810"/>
    <w:rsid w:val="004C1B26"/>
    <w:rsid w:val="004C1BE7"/>
    <w:rsid w:val="004C2FC3"/>
    <w:rsid w:val="004D0C0A"/>
    <w:rsid w:val="004D0E56"/>
    <w:rsid w:val="004D1A5E"/>
    <w:rsid w:val="004D1D15"/>
    <w:rsid w:val="004D1F70"/>
    <w:rsid w:val="004D3109"/>
    <w:rsid w:val="004D4D33"/>
    <w:rsid w:val="004D5341"/>
    <w:rsid w:val="004D69B5"/>
    <w:rsid w:val="004E2197"/>
    <w:rsid w:val="004E2647"/>
    <w:rsid w:val="004E30D4"/>
    <w:rsid w:val="004E379C"/>
    <w:rsid w:val="004E4F4C"/>
    <w:rsid w:val="004E577F"/>
    <w:rsid w:val="004E7330"/>
    <w:rsid w:val="004E7E2E"/>
    <w:rsid w:val="004F0DDF"/>
    <w:rsid w:val="004F132D"/>
    <w:rsid w:val="004F1DB6"/>
    <w:rsid w:val="004F33B3"/>
    <w:rsid w:val="004F41C4"/>
    <w:rsid w:val="004F5919"/>
    <w:rsid w:val="004F5D84"/>
    <w:rsid w:val="004F6EA6"/>
    <w:rsid w:val="00500317"/>
    <w:rsid w:val="0050079C"/>
    <w:rsid w:val="005011B5"/>
    <w:rsid w:val="00504A91"/>
    <w:rsid w:val="005050E8"/>
    <w:rsid w:val="005055BE"/>
    <w:rsid w:val="005074BE"/>
    <w:rsid w:val="00507E09"/>
    <w:rsid w:val="00507F9C"/>
    <w:rsid w:val="00510CD3"/>
    <w:rsid w:val="00511FF3"/>
    <w:rsid w:val="00512118"/>
    <w:rsid w:val="00512422"/>
    <w:rsid w:val="005127BD"/>
    <w:rsid w:val="00513320"/>
    <w:rsid w:val="00514478"/>
    <w:rsid w:val="005161E6"/>
    <w:rsid w:val="00516AAB"/>
    <w:rsid w:val="00517902"/>
    <w:rsid w:val="00520A82"/>
    <w:rsid w:val="00521461"/>
    <w:rsid w:val="00521B26"/>
    <w:rsid w:val="005221B7"/>
    <w:rsid w:val="00522987"/>
    <w:rsid w:val="00522FC9"/>
    <w:rsid w:val="00523622"/>
    <w:rsid w:val="00525FED"/>
    <w:rsid w:val="0052764B"/>
    <w:rsid w:val="00530D80"/>
    <w:rsid w:val="00531D97"/>
    <w:rsid w:val="005369E3"/>
    <w:rsid w:val="005401AF"/>
    <w:rsid w:val="005406EE"/>
    <w:rsid w:val="00540F10"/>
    <w:rsid w:val="00541710"/>
    <w:rsid w:val="00542599"/>
    <w:rsid w:val="00542859"/>
    <w:rsid w:val="005439AB"/>
    <w:rsid w:val="005439BA"/>
    <w:rsid w:val="005462A7"/>
    <w:rsid w:val="005466AE"/>
    <w:rsid w:val="00546F68"/>
    <w:rsid w:val="00550CEC"/>
    <w:rsid w:val="005510D8"/>
    <w:rsid w:val="00553B93"/>
    <w:rsid w:val="00554E88"/>
    <w:rsid w:val="00556391"/>
    <w:rsid w:val="00556AA4"/>
    <w:rsid w:val="0055705F"/>
    <w:rsid w:val="00557612"/>
    <w:rsid w:val="00557739"/>
    <w:rsid w:val="005609B6"/>
    <w:rsid w:val="0056222C"/>
    <w:rsid w:val="00562BFA"/>
    <w:rsid w:val="005631BF"/>
    <w:rsid w:val="005633E1"/>
    <w:rsid w:val="00563590"/>
    <w:rsid w:val="00564E5A"/>
    <w:rsid w:val="00565CC9"/>
    <w:rsid w:val="0056686A"/>
    <w:rsid w:val="005669EB"/>
    <w:rsid w:val="00566B5F"/>
    <w:rsid w:val="00567456"/>
    <w:rsid w:val="00567752"/>
    <w:rsid w:val="0056781E"/>
    <w:rsid w:val="00570040"/>
    <w:rsid w:val="00571746"/>
    <w:rsid w:val="00572A52"/>
    <w:rsid w:val="00572DD3"/>
    <w:rsid w:val="0057475C"/>
    <w:rsid w:val="005747B6"/>
    <w:rsid w:val="0057529C"/>
    <w:rsid w:val="00577E85"/>
    <w:rsid w:val="005801ED"/>
    <w:rsid w:val="00580432"/>
    <w:rsid w:val="0058092B"/>
    <w:rsid w:val="0058123B"/>
    <w:rsid w:val="005812FC"/>
    <w:rsid w:val="00581944"/>
    <w:rsid w:val="005819D1"/>
    <w:rsid w:val="00583218"/>
    <w:rsid w:val="005848AD"/>
    <w:rsid w:val="00584C67"/>
    <w:rsid w:val="00586AEA"/>
    <w:rsid w:val="00591156"/>
    <w:rsid w:val="00591CED"/>
    <w:rsid w:val="00593E5E"/>
    <w:rsid w:val="00593EEF"/>
    <w:rsid w:val="0059537A"/>
    <w:rsid w:val="005A0070"/>
    <w:rsid w:val="005A1038"/>
    <w:rsid w:val="005A15D2"/>
    <w:rsid w:val="005A2B7C"/>
    <w:rsid w:val="005A33DD"/>
    <w:rsid w:val="005A33F4"/>
    <w:rsid w:val="005A347E"/>
    <w:rsid w:val="005A395D"/>
    <w:rsid w:val="005A3FF4"/>
    <w:rsid w:val="005A74BE"/>
    <w:rsid w:val="005B0434"/>
    <w:rsid w:val="005B1C7B"/>
    <w:rsid w:val="005B2A87"/>
    <w:rsid w:val="005B2D8B"/>
    <w:rsid w:val="005B2F89"/>
    <w:rsid w:val="005B4947"/>
    <w:rsid w:val="005B49BC"/>
    <w:rsid w:val="005B60A4"/>
    <w:rsid w:val="005B6624"/>
    <w:rsid w:val="005C0143"/>
    <w:rsid w:val="005C0445"/>
    <w:rsid w:val="005C0A09"/>
    <w:rsid w:val="005C11B7"/>
    <w:rsid w:val="005C1988"/>
    <w:rsid w:val="005C274D"/>
    <w:rsid w:val="005C2EEA"/>
    <w:rsid w:val="005C2FF5"/>
    <w:rsid w:val="005C472A"/>
    <w:rsid w:val="005C7846"/>
    <w:rsid w:val="005C7FAB"/>
    <w:rsid w:val="005D3A13"/>
    <w:rsid w:val="005D3BE4"/>
    <w:rsid w:val="005D3C3B"/>
    <w:rsid w:val="005D3FC2"/>
    <w:rsid w:val="005D4B76"/>
    <w:rsid w:val="005D5426"/>
    <w:rsid w:val="005D596D"/>
    <w:rsid w:val="005D6000"/>
    <w:rsid w:val="005D6F1C"/>
    <w:rsid w:val="005D721A"/>
    <w:rsid w:val="005D74EC"/>
    <w:rsid w:val="005D7785"/>
    <w:rsid w:val="005E0B82"/>
    <w:rsid w:val="005E2075"/>
    <w:rsid w:val="005E2CBB"/>
    <w:rsid w:val="005E2DC9"/>
    <w:rsid w:val="005E488B"/>
    <w:rsid w:val="005E48F9"/>
    <w:rsid w:val="005E4E63"/>
    <w:rsid w:val="005E5536"/>
    <w:rsid w:val="005E573D"/>
    <w:rsid w:val="005E57D3"/>
    <w:rsid w:val="005E61CE"/>
    <w:rsid w:val="005E621E"/>
    <w:rsid w:val="005E663C"/>
    <w:rsid w:val="005E730C"/>
    <w:rsid w:val="005F0318"/>
    <w:rsid w:val="005F1652"/>
    <w:rsid w:val="005F25D1"/>
    <w:rsid w:val="005F2B53"/>
    <w:rsid w:val="005F30EA"/>
    <w:rsid w:val="005F31C0"/>
    <w:rsid w:val="005F33B6"/>
    <w:rsid w:val="005F5BDF"/>
    <w:rsid w:val="005F6FF6"/>
    <w:rsid w:val="006012EA"/>
    <w:rsid w:val="0060149D"/>
    <w:rsid w:val="0060188E"/>
    <w:rsid w:val="0060297F"/>
    <w:rsid w:val="00602ABF"/>
    <w:rsid w:val="00603ADD"/>
    <w:rsid w:val="006049F0"/>
    <w:rsid w:val="00604E00"/>
    <w:rsid w:val="006055E3"/>
    <w:rsid w:val="00606390"/>
    <w:rsid w:val="00606736"/>
    <w:rsid w:val="006126C8"/>
    <w:rsid w:val="00613177"/>
    <w:rsid w:val="00614B05"/>
    <w:rsid w:val="00615BA8"/>
    <w:rsid w:val="00616220"/>
    <w:rsid w:val="006164DC"/>
    <w:rsid w:val="0061654A"/>
    <w:rsid w:val="00616E65"/>
    <w:rsid w:val="00617968"/>
    <w:rsid w:val="00620BA9"/>
    <w:rsid w:val="0062122D"/>
    <w:rsid w:val="0062304F"/>
    <w:rsid w:val="006235E5"/>
    <w:rsid w:val="0063241B"/>
    <w:rsid w:val="0063584D"/>
    <w:rsid w:val="00640326"/>
    <w:rsid w:val="00643685"/>
    <w:rsid w:val="0064375A"/>
    <w:rsid w:val="00645E85"/>
    <w:rsid w:val="00647A2A"/>
    <w:rsid w:val="00650047"/>
    <w:rsid w:val="006525BC"/>
    <w:rsid w:val="00652A65"/>
    <w:rsid w:val="00653314"/>
    <w:rsid w:val="00653507"/>
    <w:rsid w:val="00653619"/>
    <w:rsid w:val="006539A2"/>
    <w:rsid w:val="00654AFC"/>
    <w:rsid w:val="00654F83"/>
    <w:rsid w:val="006569AD"/>
    <w:rsid w:val="00656A60"/>
    <w:rsid w:val="006602AB"/>
    <w:rsid w:val="0066199A"/>
    <w:rsid w:val="006630EB"/>
    <w:rsid w:val="006636B0"/>
    <w:rsid w:val="006648E0"/>
    <w:rsid w:val="006658BF"/>
    <w:rsid w:val="00665B22"/>
    <w:rsid w:val="00665B52"/>
    <w:rsid w:val="0066615F"/>
    <w:rsid w:val="006668C2"/>
    <w:rsid w:val="006670A3"/>
    <w:rsid w:val="006673DF"/>
    <w:rsid w:val="006707E0"/>
    <w:rsid w:val="00670E59"/>
    <w:rsid w:val="00670F31"/>
    <w:rsid w:val="006714C3"/>
    <w:rsid w:val="006715CD"/>
    <w:rsid w:val="00671A8D"/>
    <w:rsid w:val="00672FEA"/>
    <w:rsid w:val="006730B6"/>
    <w:rsid w:val="0067605E"/>
    <w:rsid w:val="006766F4"/>
    <w:rsid w:val="00680D63"/>
    <w:rsid w:val="00684518"/>
    <w:rsid w:val="00684D94"/>
    <w:rsid w:val="00686976"/>
    <w:rsid w:val="00686A63"/>
    <w:rsid w:val="0069272F"/>
    <w:rsid w:val="0069372C"/>
    <w:rsid w:val="00694572"/>
    <w:rsid w:val="006957F1"/>
    <w:rsid w:val="00696AAD"/>
    <w:rsid w:val="00697CB4"/>
    <w:rsid w:val="00697F61"/>
    <w:rsid w:val="006A0607"/>
    <w:rsid w:val="006A108A"/>
    <w:rsid w:val="006A1FF1"/>
    <w:rsid w:val="006A2647"/>
    <w:rsid w:val="006A41C2"/>
    <w:rsid w:val="006A457B"/>
    <w:rsid w:val="006A4BBC"/>
    <w:rsid w:val="006A4CAE"/>
    <w:rsid w:val="006A6263"/>
    <w:rsid w:val="006A6886"/>
    <w:rsid w:val="006A6BC1"/>
    <w:rsid w:val="006B386D"/>
    <w:rsid w:val="006B3C25"/>
    <w:rsid w:val="006B5EB2"/>
    <w:rsid w:val="006B641F"/>
    <w:rsid w:val="006B6ABB"/>
    <w:rsid w:val="006B6B96"/>
    <w:rsid w:val="006B7B22"/>
    <w:rsid w:val="006C05AB"/>
    <w:rsid w:val="006C1490"/>
    <w:rsid w:val="006C1888"/>
    <w:rsid w:val="006C203B"/>
    <w:rsid w:val="006C20CE"/>
    <w:rsid w:val="006C22B9"/>
    <w:rsid w:val="006C369D"/>
    <w:rsid w:val="006D146E"/>
    <w:rsid w:val="006D2645"/>
    <w:rsid w:val="006D3EAB"/>
    <w:rsid w:val="006D4AEB"/>
    <w:rsid w:val="006D70D2"/>
    <w:rsid w:val="006E134B"/>
    <w:rsid w:val="006E1364"/>
    <w:rsid w:val="006E16FF"/>
    <w:rsid w:val="006E1707"/>
    <w:rsid w:val="006E173B"/>
    <w:rsid w:val="006E3D79"/>
    <w:rsid w:val="006E58C8"/>
    <w:rsid w:val="006E6331"/>
    <w:rsid w:val="006E6D69"/>
    <w:rsid w:val="006E6E17"/>
    <w:rsid w:val="006E743E"/>
    <w:rsid w:val="006F032C"/>
    <w:rsid w:val="006F4929"/>
    <w:rsid w:val="006F5627"/>
    <w:rsid w:val="006F6089"/>
    <w:rsid w:val="006F62B3"/>
    <w:rsid w:val="006F6A40"/>
    <w:rsid w:val="00702C08"/>
    <w:rsid w:val="007056F6"/>
    <w:rsid w:val="00706028"/>
    <w:rsid w:val="00707763"/>
    <w:rsid w:val="00710B1D"/>
    <w:rsid w:val="0071266C"/>
    <w:rsid w:val="007129A2"/>
    <w:rsid w:val="00712EC3"/>
    <w:rsid w:val="00713267"/>
    <w:rsid w:val="00714614"/>
    <w:rsid w:val="00714872"/>
    <w:rsid w:val="00714F1F"/>
    <w:rsid w:val="0072046D"/>
    <w:rsid w:val="007204E8"/>
    <w:rsid w:val="00720B0E"/>
    <w:rsid w:val="00720FDC"/>
    <w:rsid w:val="0072178C"/>
    <w:rsid w:val="00725A96"/>
    <w:rsid w:val="00726357"/>
    <w:rsid w:val="007273F0"/>
    <w:rsid w:val="0072775D"/>
    <w:rsid w:val="0072786B"/>
    <w:rsid w:val="00727E73"/>
    <w:rsid w:val="0073121D"/>
    <w:rsid w:val="007318D9"/>
    <w:rsid w:val="007325C6"/>
    <w:rsid w:val="007328FD"/>
    <w:rsid w:val="00732B6C"/>
    <w:rsid w:val="00733A7D"/>
    <w:rsid w:val="00733C8D"/>
    <w:rsid w:val="007364FE"/>
    <w:rsid w:val="00736E9B"/>
    <w:rsid w:val="00741564"/>
    <w:rsid w:val="0074161F"/>
    <w:rsid w:val="00742169"/>
    <w:rsid w:val="0074220D"/>
    <w:rsid w:val="00744002"/>
    <w:rsid w:val="00744AE9"/>
    <w:rsid w:val="00744E65"/>
    <w:rsid w:val="007456EC"/>
    <w:rsid w:val="00747351"/>
    <w:rsid w:val="007473E1"/>
    <w:rsid w:val="0075098B"/>
    <w:rsid w:val="00751349"/>
    <w:rsid w:val="007524BE"/>
    <w:rsid w:val="00753143"/>
    <w:rsid w:val="00753893"/>
    <w:rsid w:val="0076022C"/>
    <w:rsid w:val="007603D7"/>
    <w:rsid w:val="0076171A"/>
    <w:rsid w:val="00762491"/>
    <w:rsid w:val="00763B53"/>
    <w:rsid w:val="007651EA"/>
    <w:rsid w:val="007664BC"/>
    <w:rsid w:val="00767058"/>
    <w:rsid w:val="007671C3"/>
    <w:rsid w:val="007700B7"/>
    <w:rsid w:val="0077040C"/>
    <w:rsid w:val="007729D3"/>
    <w:rsid w:val="00772DC3"/>
    <w:rsid w:val="00772EC9"/>
    <w:rsid w:val="00772F46"/>
    <w:rsid w:val="007734DA"/>
    <w:rsid w:val="00774036"/>
    <w:rsid w:val="00774760"/>
    <w:rsid w:val="00775D4A"/>
    <w:rsid w:val="00776228"/>
    <w:rsid w:val="00776AB6"/>
    <w:rsid w:val="007774FA"/>
    <w:rsid w:val="00777D8E"/>
    <w:rsid w:val="0078217B"/>
    <w:rsid w:val="00782674"/>
    <w:rsid w:val="00783391"/>
    <w:rsid w:val="00783605"/>
    <w:rsid w:val="007854FD"/>
    <w:rsid w:val="0078604F"/>
    <w:rsid w:val="007879C6"/>
    <w:rsid w:val="007879FB"/>
    <w:rsid w:val="00787FCC"/>
    <w:rsid w:val="00793B84"/>
    <w:rsid w:val="00794591"/>
    <w:rsid w:val="00794AD5"/>
    <w:rsid w:val="00795216"/>
    <w:rsid w:val="007960C3"/>
    <w:rsid w:val="007A0289"/>
    <w:rsid w:val="007A2955"/>
    <w:rsid w:val="007A36F7"/>
    <w:rsid w:val="007A45C4"/>
    <w:rsid w:val="007A577A"/>
    <w:rsid w:val="007A60C7"/>
    <w:rsid w:val="007A7D80"/>
    <w:rsid w:val="007B10A6"/>
    <w:rsid w:val="007B115A"/>
    <w:rsid w:val="007B1F64"/>
    <w:rsid w:val="007B2B41"/>
    <w:rsid w:val="007B37B7"/>
    <w:rsid w:val="007B3F9F"/>
    <w:rsid w:val="007B5FEF"/>
    <w:rsid w:val="007B69B6"/>
    <w:rsid w:val="007B6FDD"/>
    <w:rsid w:val="007B70C9"/>
    <w:rsid w:val="007B790E"/>
    <w:rsid w:val="007C1846"/>
    <w:rsid w:val="007C1D42"/>
    <w:rsid w:val="007C1E07"/>
    <w:rsid w:val="007C54AC"/>
    <w:rsid w:val="007D02E7"/>
    <w:rsid w:val="007D10A7"/>
    <w:rsid w:val="007D18DC"/>
    <w:rsid w:val="007D2CF5"/>
    <w:rsid w:val="007D3ADA"/>
    <w:rsid w:val="007D3E49"/>
    <w:rsid w:val="007D6230"/>
    <w:rsid w:val="007D75FC"/>
    <w:rsid w:val="007E0AAC"/>
    <w:rsid w:val="007E2079"/>
    <w:rsid w:val="007E21C5"/>
    <w:rsid w:val="007E226D"/>
    <w:rsid w:val="007E33D2"/>
    <w:rsid w:val="007E377D"/>
    <w:rsid w:val="007E3C82"/>
    <w:rsid w:val="007E4007"/>
    <w:rsid w:val="007E5E42"/>
    <w:rsid w:val="007E7139"/>
    <w:rsid w:val="007E7459"/>
    <w:rsid w:val="007E7D50"/>
    <w:rsid w:val="007F08C1"/>
    <w:rsid w:val="007F0CDE"/>
    <w:rsid w:val="007F1535"/>
    <w:rsid w:val="007F1877"/>
    <w:rsid w:val="007F19E5"/>
    <w:rsid w:val="007F1C5C"/>
    <w:rsid w:val="007F2EE7"/>
    <w:rsid w:val="007F492D"/>
    <w:rsid w:val="007F5223"/>
    <w:rsid w:val="007F563A"/>
    <w:rsid w:val="007F7F87"/>
    <w:rsid w:val="00800859"/>
    <w:rsid w:val="00800F91"/>
    <w:rsid w:val="00801E8B"/>
    <w:rsid w:val="0080273B"/>
    <w:rsid w:val="00802FD6"/>
    <w:rsid w:val="00803C2C"/>
    <w:rsid w:val="00806606"/>
    <w:rsid w:val="00806790"/>
    <w:rsid w:val="008124C9"/>
    <w:rsid w:val="00814A41"/>
    <w:rsid w:val="00816213"/>
    <w:rsid w:val="00816D45"/>
    <w:rsid w:val="008173AA"/>
    <w:rsid w:val="00817914"/>
    <w:rsid w:val="00820070"/>
    <w:rsid w:val="00820491"/>
    <w:rsid w:val="00822D83"/>
    <w:rsid w:val="008230C5"/>
    <w:rsid w:val="008240C8"/>
    <w:rsid w:val="00824374"/>
    <w:rsid w:val="0082567F"/>
    <w:rsid w:val="00827D4B"/>
    <w:rsid w:val="00827E95"/>
    <w:rsid w:val="008305A8"/>
    <w:rsid w:val="00833092"/>
    <w:rsid w:val="00834D29"/>
    <w:rsid w:val="00835454"/>
    <w:rsid w:val="008354EE"/>
    <w:rsid w:val="00836016"/>
    <w:rsid w:val="0083676C"/>
    <w:rsid w:val="008369C5"/>
    <w:rsid w:val="00836AA0"/>
    <w:rsid w:val="00840992"/>
    <w:rsid w:val="00843ED3"/>
    <w:rsid w:val="00844064"/>
    <w:rsid w:val="0084429B"/>
    <w:rsid w:val="00845F24"/>
    <w:rsid w:val="00846276"/>
    <w:rsid w:val="00850CF5"/>
    <w:rsid w:val="008521D6"/>
    <w:rsid w:val="00853148"/>
    <w:rsid w:val="00853C42"/>
    <w:rsid w:val="0085463A"/>
    <w:rsid w:val="00856616"/>
    <w:rsid w:val="00856EAF"/>
    <w:rsid w:val="00857974"/>
    <w:rsid w:val="00857F5A"/>
    <w:rsid w:val="00860602"/>
    <w:rsid w:val="00861660"/>
    <w:rsid w:val="008624A8"/>
    <w:rsid w:val="00862DE2"/>
    <w:rsid w:val="008643C3"/>
    <w:rsid w:val="00864B2D"/>
    <w:rsid w:val="00866317"/>
    <w:rsid w:val="008713D9"/>
    <w:rsid w:val="00873618"/>
    <w:rsid w:val="00873F80"/>
    <w:rsid w:val="0087503E"/>
    <w:rsid w:val="008762BF"/>
    <w:rsid w:val="00876A9A"/>
    <w:rsid w:val="008834FB"/>
    <w:rsid w:val="00884C97"/>
    <w:rsid w:val="00885623"/>
    <w:rsid w:val="00885CB5"/>
    <w:rsid w:val="00886170"/>
    <w:rsid w:val="00887140"/>
    <w:rsid w:val="008909BE"/>
    <w:rsid w:val="008919D3"/>
    <w:rsid w:val="00892294"/>
    <w:rsid w:val="00892FF5"/>
    <w:rsid w:val="00893665"/>
    <w:rsid w:val="00894042"/>
    <w:rsid w:val="008943DC"/>
    <w:rsid w:val="00895585"/>
    <w:rsid w:val="00895D57"/>
    <w:rsid w:val="00896548"/>
    <w:rsid w:val="00897805"/>
    <w:rsid w:val="008A05E6"/>
    <w:rsid w:val="008A0F1A"/>
    <w:rsid w:val="008A19DA"/>
    <w:rsid w:val="008A201C"/>
    <w:rsid w:val="008A231D"/>
    <w:rsid w:val="008A2CBF"/>
    <w:rsid w:val="008A38C6"/>
    <w:rsid w:val="008A3AA6"/>
    <w:rsid w:val="008A4EA3"/>
    <w:rsid w:val="008B05D9"/>
    <w:rsid w:val="008B24A3"/>
    <w:rsid w:val="008B4F2B"/>
    <w:rsid w:val="008B5DDE"/>
    <w:rsid w:val="008B6052"/>
    <w:rsid w:val="008B60DB"/>
    <w:rsid w:val="008B7EDF"/>
    <w:rsid w:val="008C4FB6"/>
    <w:rsid w:val="008C5DD7"/>
    <w:rsid w:val="008C5ECF"/>
    <w:rsid w:val="008C7E77"/>
    <w:rsid w:val="008C7FE0"/>
    <w:rsid w:val="008D0ACF"/>
    <w:rsid w:val="008D178A"/>
    <w:rsid w:val="008D1CE9"/>
    <w:rsid w:val="008D1D74"/>
    <w:rsid w:val="008D2E00"/>
    <w:rsid w:val="008D3B5B"/>
    <w:rsid w:val="008D3CAF"/>
    <w:rsid w:val="008D4E46"/>
    <w:rsid w:val="008D614C"/>
    <w:rsid w:val="008E03B0"/>
    <w:rsid w:val="008E057E"/>
    <w:rsid w:val="008E3374"/>
    <w:rsid w:val="008E3469"/>
    <w:rsid w:val="008E3713"/>
    <w:rsid w:val="008E4BF7"/>
    <w:rsid w:val="008E4EE3"/>
    <w:rsid w:val="008E5281"/>
    <w:rsid w:val="008E552D"/>
    <w:rsid w:val="008E5FE9"/>
    <w:rsid w:val="008E6128"/>
    <w:rsid w:val="008E7C2A"/>
    <w:rsid w:val="008F0263"/>
    <w:rsid w:val="008F15B3"/>
    <w:rsid w:val="008F1C8C"/>
    <w:rsid w:val="008F2E54"/>
    <w:rsid w:val="008F42F2"/>
    <w:rsid w:val="008F4571"/>
    <w:rsid w:val="008F5693"/>
    <w:rsid w:val="008F7CF5"/>
    <w:rsid w:val="009012EC"/>
    <w:rsid w:val="009014A3"/>
    <w:rsid w:val="00904040"/>
    <w:rsid w:val="0090463D"/>
    <w:rsid w:val="00904FD2"/>
    <w:rsid w:val="009063A9"/>
    <w:rsid w:val="00910006"/>
    <w:rsid w:val="00910794"/>
    <w:rsid w:val="0091100D"/>
    <w:rsid w:val="0091176D"/>
    <w:rsid w:val="0091255B"/>
    <w:rsid w:val="00913E40"/>
    <w:rsid w:val="0091481D"/>
    <w:rsid w:val="00915588"/>
    <w:rsid w:val="0092064B"/>
    <w:rsid w:val="00921689"/>
    <w:rsid w:val="00921B42"/>
    <w:rsid w:val="00921E92"/>
    <w:rsid w:val="00921F81"/>
    <w:rsid w:val="009245E1"/>
    <w:rsid w:val="0092480F"/>
    <w:rsid w:val="009251D3"/>
    <w:rsid w:val="00931037"/>
    <w:rsid w:val="009310E0"/>
    <w:rsid w:val="009322BE"/>
    <w:rsid w:val="00933E82"/>
    <w:rsid w:val="00934528"/>
    <w:rsid w:val="0093459E"/>
    <w:rsid w:val="00934CC5"/>
    <w:rsid w:val="00937065"/>
    <w:rsid w:val="00937DD8"/>
    <w:rsid w:val="009413BD"/>
    <w:rsid w:val="009426C1"/>
    <w:rsid w:val="00947285"/>
    <w:rsid w:val="009472FE"/>
    <w:rsid w:val="00950DB2"/>
    <w:rsid w:val="00951091"/>
    <w:rsid w:val="00951117"/>
    <w:rsid w:val="00951EC5"/>
    <w:rsid w:val="00951F0A"/>
    <w:rsid w:val="00952DA3"/>
    <w:rsid w:val="0095397D"/>
    <w:rsid w:val="00955E11"/>
    <w:rsid w:val="00962D68"/>
    <w:rsid w:val="00963054"/>
    <w:rsid w:val="009630DA"/>
    <w:rsid w:val="009632F5"/>
    <w:rsid w:val="00964749"/>
    <w:rsid w:val="00967544"/>
    <w:rsid w:val="00970834"/>
    <w:rsid w:val="00970FA0"/>
    <w:rsid w:val="009717F2"/>
    <w:rsid w:val="009726BC"/>
    <w:rsid w:val="0097439B"/>
    <w:rsid w:val="009746B4"/>
    <w:rsid w:val="00975361"/>
    <w:rsid w:val="00975516"/>
    <w:rsid w:val="00975CC1"/>
    <w:rsid w:val="0097614B"/>
    <w:rsid w:val="00980472"/>
    <w:rsid w:val="0098066D"/>
    <w:rsid w:val="009814C3"/>
    <w:rsid w:val="00981783"/>
    <w:rsid w:val="00981ADA"/>
    <w:rsid w:val="009825D0"/>
    <w:rsid w:val="00982BA8"/>
    <w:rsid w:val="0098320C"/>
    <w:rsid w:val="009832AC"/>
    <w:rsid w:val="009833CE"/>
    <w:rsid w:val="009840D3"/>
    <w:rsid w:val="00984CA4"/>
    <w:rsid w:val="00985E3F"/>
    <w:rsid w:val="009906CA"/>
    <w:rsid w:val="00990754"/>
    <w:rsid w:val="00991BC1"/>
    <w:rsid w:val="0099254E"/>
    <w:rsid w:val="00993578"/>
    <w:rsid w:val="00996A8A"/>
    <w:rsid w:val="00996D22"/>
    <w:rsid w:val="009A03FC"/>
    <w:rsid w:val="009A07AA"/>
    <w:rsid w:val="009A07D9"/>
    <w:rsid w:val="009A5F1F"/>
    <w:rsid w:val="009A636C"/>
    <w:rsid w:val="009A704F"/>
    <w:rsid w:val="009B0E31"/>
    <w:rsid w:val="009B44CE"/>
    <w:rsid w:val="009B4512"/>
    <w:rsid w:val="009B72F1"/>
    <w:rsid w:val="009B7E4E"/>
    <w:rsid w:val="009C0539"/>
    <w:rsid w:val="009C082D"/>
    <w:rsid w:val="009C26CD"/>
    <w:rsid w:val="009C313A"/>
    <w:rsid w:val="009C37EB"/>
    <w:rsid w:val="009C4D74"/>
    <w:rsid w:val="009C4DCB"/>
    <w:rsid w:val="009C6804"/>
    <w:rsid w:val="009C79B2"/>
    <w:rsid w:val="009C7D92"/>
    <w:rsid w:val="009D0EAC"/>
    <w:rsid w:val="009D30F3"/>
    <w:rsid w:val="009D41B9"/>
    <w:rsid w:val="009D729B"/>
    <w:rsid w:val="009E045D"/>
    <w:rsid w:val="009E06D0"/>
    <w:rsid w:val="009E2974"/>
    <w:rsid w:val="009E32C8"/>
    <w:rsid w:val="009E4E86"/>
    <w:rsid w:val="009E4F14"/>
    <w:rsid w:val="009E52C2"/>
    <w:rsid w:val="009E76DD"/>
    <w:rsid w:val="009F008E"/>
    <w:rsid w:val="009F0A15"/>
    <w:rsid w:val="009F15C5"/>
    <w:rsid w:val="009F2C28"/>
    <w:rsid w:val="009F2C32"/>
    <w:rsid w:val="009F3070"/>
    <w:rsid w:val="009F5607"/>
    <w:rsid w:val="009F5D93"/>
    <w:rsid w:val="009F67B8"/>
    <w:rsid w:val="009F67D2"/>
    <w:rsid w:val="009F7427"/>
    <w:rsid w:val="00A008DF"/>
    <w:rsid w:val="00A00B7D"/>
    <w:rsid w:val="00A01CE0"/>
    <w:rsid w:val="00A028E4"/>
    <w:rsid w:val="00A03359"/>
    <w:rsid w:val="00A045B7"/>
    <w:rsid w:val="00A049BF"/>
    <w:rsid w:val="00A07D4B"/>
    <w:rsid w:val="00A11E90"/>
    <w:rsid w:val="00A126D3"/>
    <w:rsid w:val="00A1317D"/>
    <w:rsid w:val="00A14E98"/>
    <w:rsid w:val="00A16158"/>
    <w:rsid w:val="00A16C62"/>
    <w:rsid w:val="00A201F1"/>
    <w:rsid w:val="00A21575"/>
    <w:rsid w:val="00A22202"/>
    <w:rsid w:val="00A23E05"/>
    <w:rsid w:val="00A241DA"/>
    <w:rsid w:val="00A24361"/>
    <w:rsid w:val="00A27EB9"/>
    <w:rsid w:val="00A309C6"/>
    <w:rsid w:val="00A3196C"/>
    <w:rsid w:val="00A31F09"/>
    <w:rsid w:val="00A3764D"/>
    <w:rsid w:val="00A40883"/>
    <w:rsid w:val="00A40AB1"/>
    <w:rsid w:val="00A41EC6"/>
    <w:rsid w:val="00A41F50"/>
    <w:rsid w:val="00A4222E"/>
    <w:rsid w:val="00A43058"/>
    <w:rsid w:val="00A43B5F"/>
    <w:rsid w:val="00A45CA2"/>
    <w:rsid w:val="00A469AB"/>
    <w:rsid w:val="00A47BE5"/>
    <w:rsid w:val="00A504AD"/>
    <w:rsid w:val="00A506A6"/>
    <w:rsid w:val="00A50B44"/>
    <w:rsid w:val="00A51186"/>
    <w:rsid w:val="00A55C24"/>
    <w:rsid w:val="00A55E62"/>
    <w:rsid w:val="00A569A6"/>
    <w:rsid w:val="00A577FD"/>
    <w:rsid w:val="00A57C02"/>
    <w:rsid w:val="00A60ACF"/>
    <w:rsid w:val="00A60C9A"/>
    <w:rsid w:val="00A635A5"/>
    <w:rsid w:val="00A63DD2"/>
    <w:rsid w:val="00A64824"/>
    <w:rsid w:val="00A64920"/>
    <w:rsid w:val="00A65BCE"/>
    <w:rsid w:val="00A7025D"/>
    <w:rsid w:val="00A7076C"/>
    <w:rsid w:val="00A70CA7"/>
    <w:rsid w:val="00A723C6"/>
    <w:rsid w:val="00A72A44"/>
    <w:rsid w:val="00A746F1"/>
    <w:rsid w:val="00A749FC"/>
    <w:rsid w:val="00A7505D"/>
    <w:rsid w:val="00A7574B"/>
    <w:rsid w:val="00A757B6"/>
    <w:rsid w:val="00A7639E"/>
    <w:rsid w:val="00A76A68"/>
    <w:rsid w:val="00A76CC3"/>
    <w:rsid w:val="00A76F6B"/>
    <w:rsid w:val="00A802F6"/>
    <w:rsid w:val="00A81236"/>
    <w:rsid w:val="00A82198"/>
    <w:rsid w:val="00A82519"/>
    <w:rsid w:val="00A82EC0"/>
    <w:rsid w:val="00A83C0A"/>
    <w:rsid w:val="00A85BBE"/>
    <w:rsid w:val="00A85E6F"/>
    <w:rsid w:val="00A876A6"/>
    <w:rsid w:val="00A879F4"/>
    <w:rsid w:val="00A9047A"/>
    <w:rsid w:val="00A906CB"/>
    <w:rsid w:val="00A92112"/>
    <w:rsid w:val="00A9212C"/>
    <w:rsid w:val="00A9251C"/>
    <w:rsid w:val="00A92806"/>
    <w:rsid w:val="00A93497"/>
    <w:rsid w:val="00A93BC0"/>
    <w:rsid w:val="00A97EAA"/>
    <w:rsid w:val="00AA38F1"/>
    <w:rsid w:val="00AA4C4B"/>
    <w:rsid w:val="00AA6B96"/>
    <w:rsid w:val="00AA786D"/>
    <w:rsid w:val="00AA7F94"/>
    <w:rsid w:val="00AB0BF7"/>
    <w:rsid w:val="00AB475C"/>
    <w:rsid w:val="00AB4D2C"/>
    <w:rsid w:val="00AB6D0C"/>
    <w:rsid w:val="00AB79CB"/>
    <w:rsid w:val="00AC022A"/>
    <w:rsid w:val="00AC2D30"/>
    <w:rsid w:val="00AC40B6"/>
    <w:rsid w:val="00AC51B6"/>
    <w:rsid w:val="00AC5EF8"/>
    <w:rsid w:val="00AC6082"/>
    <w:rsid w:val="00AD011B"/>
    <w:rsid w:val="00AD1205"/>
    <w:rsid w:val="00AD22B3"/>
    <w:rsid w:val="00AD2E59"/>
    <w:rsid w:val="00AD46DC"/>
    <w:rsid w:val="00AD4B7E"/>
    <w:rsid w:val="00AD506C"/>
    <w:rsid w:val="00AD6D8B"/>
    <w:rsid w:val="00AD732C"/>
    <w:rsid w:val="00AE259D"/>
    <w:rsid w:val="00AE2CAD"/>
    <w:rsid w:val="00AE5326"/>
    <w:rsid w:val="00AF3E69"/>
    <w:rsid w:val="00AF5FFE"/>
    <w:rsid w:val="00AF6148"/>
    <w:rsid w:val="00AF6B37"/>
    <w:rsid w:val="00AF7363"/>
    <w:rsid w:val="00B01399"/>
    <w:rsid w:val="00B03F4D"/>
    <w:rsid w:val="00B05296"/>
    <w:rsid w:val="00B0537F"/>
    <w:rsid w:val="00B06237"/>
    <w:rsid w:val="00B101FD"/>
    <w:rsid w:val="00B108CF"/>
    <w:rsid w:val="00B11A78"/>
    <w:rsid w:val="00B1204A"/>
    <w:rsid w:val="00B1365F"/>
    <w:rsid w:val="00B138B5"/>
    <w:rsid w:val="00B14BDB"/>
    <w:rsid w:val="00B16995"/>
    <w:rsid w:val="00B16A8A"/>
    <w:rsid w:val="00B17217"/>
    <w:rsid w:val="00B2247D"/>
    <w:rsid w:val="00B231CD"/>
    <w:rsid w:val="00B2386D"/>
    <w:rsid w:val="00B24398"/>
    <w:rsid w:val="00B2463A"/>
    <w:rsid w:val="00B259A6"/>
    <w:rsid w:val="00B26C47"/>
    <w:rsid w:val="00B27C50"/>
    <w:rsid w:val="00B30EB6"/>
    <w:rsid w:val="00B3160C"/>
    <w:rsid w:val="00B31D19"/>
    <w:rsid w:val="00B31D27"/>
    <w:rsid w:val="00B32B71"/>
    <w:rsid w:val="00B32B8A"/>
    <w:rsid w:val="00B34C2C"/>
    <w:rsid w:val="00B3506B"/>
    <w:rsid w:val="00B36DE1"/>
    <w:rsid w:val="00B37968"/>
    <w:rsid w:val="00B40635"/>
    <w:rsid w:val="00B40A24"/>
    <w:rsid w:val="00B42146"/>
    <w:rsid w:val="00B42502"/>
    <w:rsid w:val="00B4592E"/>
    <w:rsid w:val="00B45A4C"/>
    <w:rsid w:val="00B46F2C"/>
    <w:rsid w:val="00B47D3B"/>
    <w:rsid w:val="00B50BBE"/>
    <w:rsid w:val="00B52826"/>
    <w:rsid w:val="00B53F9A"/>
    <w:rsid w:val="00B54432"/>
    <w:rsid w:val="00B54CF7"/>
    <w:rsid w:val="00B55295"/>
    <w:rsid w:val="00B600B6"/>
    <w:rsid w:val="00B6029B"/>
    <w:rsid w:val="00B60C86"/>
    <w:rsid w:val="00B61B56"/>
    <w:rsid w:val="00B62181"/>
    <w:rsid w:val="00B62A39"/>
    <w:rsid w:val="00B62D94"/>
    <w:rsid w:val="00B62FB0"/>
    <w:rsid w:val="00B666ED"/>
    <w:rsid w:val="00B66ADB"/>
    <w:rsid w:val="00B66BBD"/>
    <w:rsid w:val="00B70E48"/>
    <w:rsid w:val="00B72040"/>
    <w:rsid w:val="00B74B03"/>
    <w:rsid w:val="00B756EC"/>
    <w:rsid w:val="00B76268"/>
    <w:rsid w:val="00B76878"/>
    <w:rsid w:val="00B76D67"/>
    <w:rsid w:val="00B76F24"/>
    <w:rsid w:val="00B770E2"/>
    <w:rsid w:val="00B80367"/>
    <w:rsid w:val="00B81DBC"/>
    <w:rsid w:val="00B82445"/>
    <w:rsid w:val="00B83110"/>
    <w:rsid w:val="00B83904"/>
    <w:rsid w:val="00B87901"/>
    <w:rsid w:val="00B87A5E"/>
    <w:rsid w:val="00B909E2"/>
    <w:rsid w:val="00B92235"/>
    <w:rsid w:val="00B94521"/>
    <w:rsid w:val="00B94F29"/>
    <w:rsid w:val="00BA1370"/>
    <w:rsid w:val="00BA1B13"/>
    <w:rsid w:val="00BA20EF"/>
    <w:rsid w:val="00BA2263"/>
    <w:rsid w:val="00BA57D3"/>
    <w:rsid w:val="00BA7262"/>
    <w:rsid w:val="00BA790E"/>
    <w:rsid w:val="00BA7AF3"/>
    <w:rsid w:val="00BB1020"/>
    <w:rsid w:val="00BB1AB7"/>
    <w:rsid w:val="00BB23AA"/>
    <w:rsid w:val="00BB2D85"/>
    <w:rsid w:val="00BB3C0B"/>
    <w:rsid w:val="00BB5B2B"/>
    <w:rsid w:val="00BB5C36"/>
    <w:rsid w:val="00BB6BA9"/>
    <w:rsid w:val="00BC1025"/>
    <w:rsid w:val="00BC1F53"/>
    <w:rsid w:val="00BC2DBA"/>
    <w:rsid w:val="00BC2FF2"/>
    <w:rsid w:val="00BC5296"/>
    <w:rsid w:val="00BD0836"/>
    <w:rsid w:val="00BD17D3"/>
    <w:rsid w:val="00BD1FE1"/>
    <w:rsid w:val="00BD2318"/>
    <w:rsid w:val="00BD278E"/>
    <w:rsid w:val="00BD2C14"/>
    <w:rsid w:val="00BD3B1D"/>
    <w:rsid w:val="00BD4025"/>
    <w:rsid w:val="00BD4F45"/>
    <w:rsid w:val="00BD5352"/>
    <w:rsid w:val="00BE02E7"/>
    <w:rsid w:val="00BE11B7"/>
    <w:rsid w:val="00BE38E2"/>
    <w:rsid w:val="00BE4316"/>
    <w:rsid w:val="00BE457E"/>
    <w:rsid w:val="00BE498B"/>
    <w:rsid w:val="00BE6BD9"/>
    <w:rsid w:val="00BE7103"/>
    <w:rsid w:val="00BE7326"/>
    <w:rsid w:val="00BE7D8F"/>
    <w:rsid w:val="00BE7DBA"/>
    <w:rsid w:val="00BF196B"/>
    <w:rsid w:val="00BF39C3"/>
    <w:rsid w:val="00BF3E91"/>
    <w:rsid w:val="00BF43F7"/>
    <w:rsid w:val="00BF497D"/>
    <w:rsid w:val="00BF4DF3"/>
    <w:rsid w:val="00BF4F2E"/>
    <w:rsid w:val="00BF5917"/>
    <w:rsid w:val="00BF5A86"/>
    <w:rsid w:val="00BF6D8D"/>
    <w:rsid w:val="00BF7492"/>
    <w:rsid w:val="00C06345"/>
    <w:rsid w:val="00C115CA"/>
    <w:rsid w:val="00C11931"/>
    <w:rsid w:val="00C11BA4"/>
    <w:rsid w:val="00C120A5"/>
    <w:rsid w:val="00C13F23"/>
    <w:rsid w:val="00C14CF0"/>
    <w:rsid w:val="00C202FC"/>
    <w:rsid w:val="00C21564"/>
    <w:rsid w:val="00C23F61"/>
    <w:rsid w:val="00C24630"/>
    <w:rsid w:val="00C263ED"/>
    <w:rsid w:val="00C267E8"/>
    <w:rsid w:val="00C27AE5"/>
    <w:rsid w:val="00C30561"/>
    <w:rsid w:val="00C305FE"/>
    <w:rsid w:val="00C319C0"/>
    <w:rsid w:val="00C322F9"/>
    <w:rsid w:val="00C326CE"/>
    <w:rsid w:val="00C32DDC"/>
    <w:rsid w:val="00C335FE"/>
    <w:rsid w:val="00C33FFB"/>
    <w:rsid w:val="00C341C6"/>
    <w:rsid w:val="00C36047"/>
    <w:rsid w:val="00C36503"/>
    <w:rsid w:val="00C36A87"/>
    <w:rsid w:val="00C372AB"/>
    <w:rsid w:val="00C4052F"/>
    <w:rsid w:val="00C417EC"/>
    <w:rsid w:val="00C42BBE"/>
    <w:rsid w:val="00C43DA5"/>
    <w:rsid w:val="00C44604"/>
    <w:rsid w:val="00C4627C"/>
    <w:rsid w:val="00C46649"/>
    <w:rsid w:val="00C4743B"/>
    <w:rsid w:val="00C4791A"/>
    <w:rsid w:val="00C51189"/>
    <w:rsid w:val="00C5188F"/>
    <w:rsid w:val="00C5288D"/>
    <w:rsid w:val="00C52E9F"/>
    <w:rsid w:val="00C530CF"/>
    <w:rsid w:val="00C5311B"/>
    <w:rsid w:val="00C533A4"/>
    <w:rsid w:val="00C53B1F"/>
    <w:rsid w:val="00C53F92"/>
    <w:rsid w:val="00C5413E"/>
    <w:rsid w:val="00C544E3"/>
    <w:rsid w:val="00C5575F"/>
    <w:rsid w:val="00C569F5"/>
    <w:rsid w:val="00C60B9A"/>
    <w:rsid w:val="00C635B0"/>
    <w:rsid w:val="00C67F16"/>
    <w:rsid w:val="00C70CEA"/>
    <w:rsid w:val="00C70D62"/>
    <w:rsid w:val="00C71DEC"/>
    <w:rsid w:val="00C737BD"/>
    <w:rsid w:val="00C74248"/>
    <w:rsid w:val="00C75B46"/>
    <w:rsid w:val="00C760F3"/>
    <w:rsid w:val="00C76F9F"/>
    <w:rsid w:val="00C7743F"/>
    <w:rsid w:val="00C80FEB"/>
    <w:rsid w:val="00C8213B"/>
    <w:rsid w:val="00C821B9"/>
    <w:rsid w:val="00C82D2F"/>
    <w:rsid w:val="00C875E6"/>
    <w:rsid w:val="00C87B48"/>
    <w:rsid w:val="00C91AD8"/>
    <w:rsid w:val="00C931FB"/>
    <w:rsid w:val="00C93F41"/>
    <w:rsid w:val="00C94543"/>
    <w:rsid w:val="00C94ADF"/>
    <w:rsid w:val="00C95F21"/>
    <w:rsid w:val="00C96A8D"/>
    <w:rsid w:val="00C97A8A"/>
    <w:rsid w:val="00CA2448"/>
    <w:rsid w:val="00CA2A47"/>
    <w:rsid w:val="00CA2A94"/>
    <w:rsid w:val="00CA417C"/>
    <w:rsid w:val="00CA5556"/>
    <w:rsid w:val="00CA5D8B"/>
    <w:rsid w:val="00CA5E17"/>
    <w:rsid w:val="00CA653F"/>
    <w:rsid w:val="00CA720D"/>
    <w:rsid w:val="00CB2FAB"/>
    <w:rsid w:val="00CB3068"/>
    <w:rsid w:val="00CB30AF"/>
    <w:rsid w:val="00CB3EF5"/>
    <w:rsid w:val="00CB48A5"/>
    <w:rsid w:val="00CB5460"/>
    <w:rsid w:val="00CB675F"/>
    <w:rsid w:val="00CB6B19"/>
    <w:rsid w:val="00CB7E79"/>
    <w:rsid w:val="00CC0A9C"/>
    <w:rsid w:val="00CC0C61"/>
    <w:rsid w:val="00CC1ACF"/>
    <w:rsid w:val="00CC2146"/>
    <w:rsid w:val="00CC256C"/>
    <w:rsid w:val="00CC31EE"/>
    <w:rsid w:val="00CC403F"/>
    <w:rsid w:val="00CC4B0C"/>
    <w:rsid w:val="00CC6238"/>
    <w:rsid w:val="00CC7319"/>
    <w:rsid w:val="00CD00EA"/>
    <w:rsid w:val="00CD1126"/>
    <w:rsid w:val="00CD2375"/>
    <w:rsid w:val="00CD2996"/>
    <w:rsid w:val="00CD4BD3"/>
    <w:rsid w:val="00CD4C4C"/>
    <w:rsid w:val="00CD5BE0"/>
    <w:rsid w:val="00CD62A6"/>
    <w:rsid w:val="00CD6AC3"/>
    <w:rsid w:val="00CD6AE4"/>
    <w:rsid w:val="00CD78C3"/>
    <w:rsid w:val="00CE0107"/>
    <w:rsid w:val="00CE0833"/>
    <w:rsid w:val="00CE0DA5"/>
    <w:rsid w:val="00CE0DB6"/>
    <w:rsid w:val="00CE2FC1"/>
    <w:rsid w:val="00CE3B59"/>
    <w:rsid w:val="00CE4235"/>
    <w:rsid w:val="00CE5A47"/>
    <w:rsid w:val="00CE5BAC"/>
    <w:rsid w:val="00CE6CDD"/>
    <w:rsid w:val="00CE729D"/>
    <w:rsid w:val="00CF1954"/>
    <w:rsid w:val="00CF25F6"/>
    <w:rsid w:val="00CF59A8"/>
    <w:rsid w:val="00CF7D28"/>
    <w:rsid w:val="00D00065"/>
    <w:rsid w:val="00D00A21"/>
    <w:rsid w:val="00D0103F"/>
    <w:rsid w:val="00D019AD"/>
    <w:rsid w:val="00D01DA2"/>
    <w:rsid w:val="00D02B7A"/>
    <w:rsid w:val="00D03F29"/>
    <w:rsid w:val="00D045BE"/>
    <w:rsid w:val="00D056E0"/>
    <w:rsid w:val="00D10361"/>
    <w:rsid w:val="00D11486"/>
    <w:rsid w:val="00D12F65"/>
    <w:rsid w:val="00D13173"/>
    <w:rsid w:val="00D13CA0"/>
    <w:rsid w:val="00D14887"/>
    <w:rsid w:val="00D14F96"/>
    <w:rsid w:val="00D160DD"/>
    <w:rsid w:val="00D172C2"/>
    <w:rsid w:val="00D1786E"/>
    <w:rsid w:val="00D2085A"/>
    <w:rsid w:val="00D21E9E"/>
    <w:rsid w:val="00D22B39"/>
    <w:rsid w:val="00D2382D"/>
    <w:rsid w:val="00D243D3"/>
    <w:rsid w:val="00D24849"/>
    <w:rsid w:val="00D26125"/>
    <w:rsid w:val="00D26ECA"/>
    <w:rsid w:val="00D27C82"/>
    <w:rsid w:val="00D30BF1"/>
    <w:rsid w:val="00D31372"/>
    <w:rsid w:val="00D313A0"/>
    <w:rsid w:val="00D32788"/>
    <w:rsid w:val="00D342C8"/>
    <w:rsid w:val="00D34B73"/>
    <w:rsid w:val="00D353FC"/>
    <w:rsid w:val="00D3552B"/>
    <w:rsid w:val="00D359C6"/>
    <w:rsid w:val="00D4121F"/>
    <w:rsid w:val="00D41C19"/>
    <w:rsid w:val="00D4207B"/>
    <w:rsid w:val="00D4213F"/>
    <w:rsid w:val="00D43FCD"/>
    <w:rsid w:val="00D440B1"/>
    <w:rsid w:val="00D46C07"/>
    <w:rsid w:val="00D470CD"/>
    <w:rsid w:val="00D4719F"/>
    <w:rsid w:val="00D47277"/>
    <w:rsid w:val="00D4728A"/>
    <w:rsid w:val="00D4782F"/>
    <w:rsid w:val="00D51FB0"/>
    <w:rsid w:val="00D539BE"/>
    <w:rsid w:val="00D55066"/>
    <w:rsid w:val="00D55FA0"/>
    <w:rsid w:val="00D567FF"/>
    <w:rsid w:val="00D6002F"/>
    <w:rsid w:val="00D6050C"/>
    <w:rsid w:val="00D6132E"/>
    <w:rsid w:val="00D61361"/>
    <w:rsid w:val="00D63CEA"/>
    <w:rsid w:val="00D669B2"/>
    <w:rsid w:val="00D67C5D"/>
    <w:rsid w:val="00D7179A"/>
    <w:rsid w:val="00D72975"/>
    <w:rsid w:val="00D72F86"/>
    <w:rsid w:val="00D73437"/>
    <w:rsid w:val="00D73C26"/>
    <w:rsid w:val="00D759DD"/>
    <w:rsid w:val="00D76056"/>
    <w:rsid w:val="00D76152"/>
    <w:rsid w:val="00D765DF"/>
    <w:rsid w:val="00D7719C"/>
    <w:rsid w:val="00D80EAF"/>
    <w:rsid w:val="00D816D3"/>
    <w:rsid w:val="00D85350"/>
    <w:rsid w:val="00D86A4A"/>
    <w:rsid w:val="00D86FBC"/>
    <w:rsid w:val="00D91202"/>
    <w:rsid w:val="00D92196"/>
    <w:rsid w:val="00D92523"/>
    <w:rsid w:val="00D92D20"/>
    <w:rsid w:val="00D931F7"/>
    <w:rsid w:val="00D937B9"/>
    <w:rsid w:val="00D93B0A"/>
    <w:rsid w:val="00D95599"/>
    <w:rsid w:val="00D9620F"/>
    <w:rsid w:val="00D96BDE"/>
    <w:rsid w:val="00D97FEA"/>
    <w:rsid w:val="00DA0EF9"/>
    <w:rsid w:val="00DA54A6"/>
    <w:rsid w:val="00DA5819"/>
    <w:rsid w:val="00DA66CD"/>
    <w:rsid w:val="00DA6CEE"/>
    <w:rsid w:val="00DB07F1"/>
    <w:rsid w:val="00DB641D"/>
    <w:rsid w:val="00DB7782"/>
    <w:rsid w:val="00DC01F2"/>
    <w:rsid w:val="00DC081F"/>
    <w:rsid w:val="00DC10BF"/>
    <w:rsid w:val="00DC28D7"/>
    <w:rsid w:val="00DC4BAD"/>
    <w:rsid w:val="00DC4FB2"/>
    <w:rsid w:val="00DD1318"/>
    <w:rsid w:val="00DD14D0"/>
    <w:rsid w:val="00DD198C"/>
    <w:rsid w:val="00DD21DA"/>
    <w:rsid w:val="00DD2D0A"/>
    <w:rsid w:val="00DD6174"/>
    <w:rsid w:val="00DD654B"/>
    <w:rsid w:val="00DD7A49"/>
    <w:rsid w:val="00DD7F13"/>
    <w:rsid w:val="00DE0C3C"/>
    <w:rsid w:val="00DE0DBE"/>
    <w:rsid w:val="00DE1BE5"/>
    <w:rsid w:val="00DE662F"/>
    <w:rsid w:val="00DE706F"/>
    <w:rsid w:val="00DE70EB"/>
    <w:rsid w:val="00DF012C"/>
    <w:rsid w:val="00DF0E15"/>
    <w:rsid w:val="00DF1A07"/>
    <w:rsid w:val="00DF1F22"/>
    <w:rsid w:val="00DF2F0B"/>
    <w:rsid w:val="00DF31B6"/>
    <w:rsid w:val="00DF3BE4"/>
    <w:rsid w:val="00DF6F63"/>
    <w:rsid w:val="00DF7ED1"/>
    <w:rsid w:val="00E00968"/>
    <w:rsid w:val="00E027C0"/>
    <w:rsid w:val="00E108BF"/>
    <w:rsid w:val="00E1229D"/>
    <w:rsid w:val="00E1327C"/>
    <w:rsid w:val="00E13727"/>
    <w:rsid w:val="00E14055"/>
    <w:rsid w:val="00E150EC"/>
    <w:rsid w:val="00E1626D"/>
    <w:rsid w:val="00E16CAC"/>
    <w:rsid w:val="00E20F44"/>
    <w:rsid w:val="00E22166"/>
    <w:rsid w:val="00E22E41"/>
    <w:rsid w:val="00E2311C"/>
    <w:rsid w:val="00E23CFE"/>
    <w:rsid w:val="00E242A0"/>
    <w:rsid w:val="00E24E6A"/>
    <w:rsid w:val="00E2528A"/>
    <w:rsid w:val="00E2534E"/>
    <w:rsid w:val="00E26333"/>
    <w:rsid w:val="00E27A2C"/>
    <w:rsid w:val="00E3032B"/>
    <w:rsid w:val="00E30608"/>
    <w:rsid w:val="00E3086F"/>
    <w:rsid w:val="00E31826"/>
    <w:rsid w:val="00E3271D"/>
    <w:rsid w:val="00E32A9E"/>
    <w:rsid w:val="00E33508"/>
    <w:rsid w:val="00E33749"/>
    <w:rsid w:val="00E33A3A"/>
    <w:rsid w:val="00E33B50"/>
    <w:rsid w:val="00E33F42"/>
    <w:rsid w:val="00E34A78"/>
    <w:rsid w:val="00E372C7"/>
    <w:rsid w:val="00E3776B"/>
    <w:rsid w:val="00E40224"/>
    <w:rsid w:val="00E4088F"/>
    <w:rsid w:val="00E439C5"/>
    <w:rsid w:val="00E452A3"/>
    <w:rsid w:val="00E46054"/>
    <w:rsid w:val="00E463BC"/>
    <w:rsid w:val="00E4647B"/>
    <w:rsid w:val="00E46B5E"/>
    <w:rsid w:val="00E46F2B"/>
    <w:rsid w:val="00E4793C"/>
    <w:rsid w:val="00E504AA"/>
    <w:rsid w:val="00E53E1F"/>
    <w:rsid w:val="00E54309"/>
    <w:rsid w:val="00E54841"/>
    <w:rsid w:val="00E54DEC"/>
    <w:rsid w:val="00E55A28"/>
    <w:rsid w:val="00E55F16"/>
    <w:rsid w:val="00E56B05"/>
    <w:rsid w:val="00E57E05"/>
    <w:rsid w:val="00E6097D"/>
    <w:rsid w:val="00E618F9"/>
    <w:rsid w:val="00E61B41"/>
    <w:rsid w:val="00E62657"/>
    <w:rsid w:val="00E66A48"/>
    <w:rsid w:val="00E700CD"/>
    <w:rsid w:val="00E73B3B"/>
    <w:rsid w:val="00E74BEE"/>
    <w:rsid w:val="00E75CAA"/>
    <w:rsid w:val="00E76349"/>
    <w:rsid w:val="00E77616"/>
    <w:rsid w:val="00E8015D"/>
    <w:rsid w:val="00E80292"/>
    <w:rsid w:val="00E80D02"/>
    <w:rsid w:val="00E8283A"/>
    <w:rsid w:val="00E831D5"/>
    <w:rsid w:val="00E83709"/>
    <w:rsid w:val="00E83924"/>
    <w:rsid w:val="00E842A0"/>
    <w:rsid w:val="00E85077"/>
    <w:rsid w:val="00E8519D"/>
    <w:rsid w:val="00E870D0"/>
    <w:rsid w:val="00E87AF4"/>
    <w:rsid w:val="00E903DB"/>
    <w:rsid w:val="00E91990"/>
    <w:rsid w:val="00E920EB"/>
    <w:rsid w:val="00E92F6E"/>
    <w:rsid w:val="00E93AD6"/>
    <w:rsid w:val="00E94F25"/>
    <w:rsid w:val="00E95646"/>
    <w:rsid w:val="00E95685"/>
    <w:rsid w:val="00E96723"/>
    <w:rsid w:val="00E9726F"/>
    <w:rsid w:val="00E97C88"/>
    <w:rsid w:val="00EA038D"/>
    <w:rsid w:val="00EA1C9F"/>
    <w:rsid w:val="00EA71D6"/>
    <w:rsid w:val="00EA7294"/>
    <w:rsid w:val="00EB1F19"/>
    <w:rsid w:val="00EB22EF"/>
    <w:rsid w:val="00EB2985"/>
    <w:rsid w:val="00EB2E3A"/>
    <w:rsid w:val="00EB431C"/>
    <w:rsid w:val="00EB71DE"/>
    <w:rsid w:val="00EB7911"/>
    <w:rsid w:val="00EB79FB"/>
    <w:rsid w:val="00EB7CD3"/>
    <w:rsid w:val="00EB7FE4"/>
    <w:rsid w:val="00EC115E"/>
    <w:rsid w:val="00EC151A"/>
    <w:rsid w:val="00EC3CD4"/>
    <w:rsid w:val="00EC5080"/>
    <w:rsid w:val="00EC5801"/>
    <w:rsid w:val="00EC5AF5"/>
    <w:rsid w:val="00EC5E11"/>
    <w:rsid w:val="00ED1FA9"/>
    <w:rsid w:val="00ED229E"/>
    <w:rsid w:val="00ED2BDC"/>
    <w:rsid w:val="00ED5140"/>
    <w:rsid w:val="00ED529F"/>
    <w:rsid w:val="00ED5540"/>
    <w:rsid w:val="00ED590C"/>
    <w:rsid w:val="00ED5924"/>
    <w:rsid w:val="00ED648C"/>
    <w:rsid w:val="00ED6698"/>
    <w:rsid w:val="00ED6C5D"/>
    <w:rsid w:val="00EE0555"/>
    <w:rsid w:val="00EE146A"/>
    <w:rsid w:val="00EE1FDA"/>
    <w:rsid w:val="00EE41D4"/>
    <w:rsid w:val="00EE42B9"/>
    <w:rsid w:val="00EE616A"/>
    <w:rsid w:val="00EF0ADB"/>
    <w:rsid w:val="00EF0F1A"/>
    <w:rsid w:val="00EF1DD2"/>
    <w:rsid w:val="00EF2823"/>
    <w:rsid w:val="00EF29E3"/>
    <w:rsid w:val="00EF2BFB"/>
    <w:rsid w:val="00EF2DC1"/>
    <w:rsid w:val="00EF2DE8"/>
    <w:rsid w:val="00EF412C"/>
    <w:rsid w:val="00EF518E"/>
    <w:rsid w:val="00EF6546"/>
    <w:rsid w:val="00F00321"/>
    <w:rsid w:val="00F00BAF"/>
    <w:rsid w:val="00F01A93"/>
    <w:rsid w:val="00F02E0C"/>
    <w:rsid w:val="00F03A2E"/>
    <w:rsid w:val="00F03A7D"/>
    <w:rsid w:val="00F03ECA"/>
    <w:rsid w:val="00F044D8"/>
    <w:rsid w:val="00F0464F"/>
    <w:rsid w:val="00F04FD7"/>
    <w:rsid w:val="00F07290"/>
    <w:rsid w:val="00F07C1F"/>
    <w:rsid w:val="00F07C88"/>
    <w:rsid w:val="00F11BEE"/>
    <w:rsid w:val="00F122D7"/>
    <w:rsid w:val="00F16187"/>
    <w:rsid w:val="00F17680"/>
    <w:rsid w:val="00F209F3"/>
    <w:rsid w:val="00F22499"/>
    <w:rsid w:val="00F228C0"/>
    <w:rsid w:val="00F22B56"/>
    <w:rsid w:val="00F22C11"/>
    <w:rsid w:val="00F23791"/>
    <w:rsid w:val="00F23E54"/>
    <w:rsid w:val="00F25CDB"/>
    <w:rsid w:val="00F25DE8"/>
    <w:rsid w:val="00F25E9F"/>
    <w:rsid w:val="00F26B43"/>
    <w:rsid w:val="00F26B8E"/>
    <w:rsid w:val="00F27C64"/>
    <w:rsid w:val="00F301F1"/>
    <w:rsid w:val="00F30AE2"/>
    <w:rsid w:val="00F33E06"/>
    <w:rsid w:val="00F34548"/>
    <w:rsid w:val="00F350FF"/>
    <w:rsid w:val="00F35AD8"/>
    <w:rsid w:val="00F35D26"/>
    <w:rsid w:val="00F40CEE"/>
    <w:rsid w:val="00F410F1"/>
    <w:rsid w:val="00F411D7"/>
    <w:rsid w:val="00F4122D"/>
    <w:rsid w:val="00F41F61"/>
    <w:rsid w:val="00F4213B"/>
    <w:rsid w:val="00F42EF3"/>
    <w:rsid w:val="00F44EA3"/>
    <w:rsid w:val="00F4591E"/>
    <w:rsid w:val="00F4676B"/>
    <w:rsid w:val="00F47354"/>
    <w:rsid w:val="00F52B1C"/>
    <w:rsid w:val="00F52F84"/>
    <w:rsid w:val="00F532EB"/>
    <w:rsid w:val="00F5354B"/>
    <w:rsid w:val="00F53E8D"/>
    <w:rsid w:val="00F54F10"/>
    <w:rsid w:val="00F553D1"/>
    <w:rsid w:val="00F55B81"/>
    <w:rsid w:val="00F562BE"/>
    <w:rsid w:val="00F574E1"/>
    <w:rsid w:val="00F60AA2"/>
    <w:rsid w:val="00F60FDA"/>
    <w:rsid w:val="00F618E9"/>
    <w:rsid w:val="00F61FD1"/>
    <w:rsid w:val="00F62F52"/>
    <w:rsid w:val="00F64E74"/>
    <w:rsid w:val="00F6507A"/>
    <w:rsid w:val="00F65C25"/>
    <w:rsid w:val="00F66CC9"/>
    <w:rsid w:val="00F66ED6"/>
    <w:rsid w:val="00F70AC0"/>
    <w:rsid w:val="00F723CE"/>
    <w:rsid w:val="00F7473A"/>
    <w:rsid w:val="00F757A9"/>
    <w:rsid w:val="00F76E60"/>
    <w:rsid w:val="00F77D47"/>
    <w:rsid w:val="00F80C4F"/>
    <w:rsid w:val="00F8227E"/>
    <w:rsid w:val="00F8301A"/>
    <w:rsid w:val="00F846DE"/>
    <w:rsid w:val="00F86665"/>
    <w:rsid w:val="00F86FAA"/>
    <w:rsid w:val="00F873C2"/>
    <w:rsid w:val="00F93A34"/>
    <w:rsid w:val="00F9473E"/>
    <w:rsid w:val="00F95BE4"/>
    <w:rsid w:val="00F974DB"/>
    <w:rsid w:val="00FA08A2"/>
    <w:rsid w:val="00FA0A71"/>
    <w:rsid w:val="00FA0FA6"/>
    <w:rsid w:val="00FA2731"/>
    <w:rsid w:val="00FA343F"/>
    <w:rsid w:val="00FA38E6"/>
    <w:rsid w:val="00FA3B68"/>
    <w:rsid w:val="00FA676A"/>
    <w:rsid w:val="00FB0E37"/>
    <w:rsid w:val="00FB1235"/>
    <w:rsid w:val="00FB2CB1"/>
    <w:rsid w:val="00FB381F"/>
    <w:rsid w:val="00FB3AE9"/>
    <w:rsid w:val="00FB3F6B"/>
    <w:rsid w:val="00FB4AA2"/>
    <w:rsid w:val="00FB50B3"/>
    <w:rsid w:val="00FB54FF"/>
    <w:rsid w:val="00FB6249"/>
    <w:rsid w:val="00FB6436"/>
    <w:rsid w:val="00FB6DCA"/>
    <w:rsid w:val="00FC11C8"/>
    <w:rsid w:val="00FC3681"/>
    <w:rsid w:val="00FC38B5"/>
    <w:rsid w:val="00FC39A0"/>
    <w:rsid w:val="00FC3BC9"/>
    <w:rsid w:val="00FC67DC"/>
    <w:rsid w:val="00FD2F8B"/>
    <w:rsid w:val="00FD3956"/>
    <w:rsid w:val="00FD4736"/>
    <w:rsid w:val="00FD4D15"/>
    <w:rsid w:val="00FD5183"/>
    <w:rsid w:val="00FD5CAE"/>
    <w:rsid w:val="00FD61AF"/>
    <w:rsid w:val="00FD63A1"/>
    <w:rsid w:val="00FE2172"/>
    <w:rsid w:val="00FE2A40"/>
    <w:rsid w:val="00FE3710"/>
    <w:rsid w:val="00FE4676"/>
    <w:rsid w:val="00FE66A8"/>
    <w:rsid w:val="00FE7EED"/>
    <w:rsid w:val="00FF0604"/>
    <w:rsid w:val="00FF0C51"/>
    <w:rsid w:val="00FF0CCF"/>
    <w:rsid w:val="00FF0D0C"/>
    <w:rsid w:val="00FF0DD3"/>
    <w:rsid w:val="00FF29A9"/>
    <w:rsid w:val="00FF49F6"/>
    <w:rsid w:val="00FF6BCE"/>
    <w:rsid w:val="00FF6D66"/>
    <w:rsid w:val="00FF73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48"/>
    <w:pPr>
      <w:spacing w:after="160" w:line="259" w:lineRule="auto"/>
    </w:pPr>
  </w:style>
  <w:style w:type="paragraph" w:styleId="Ttulo1">
    <w:name w:val="heading 1"/>
    <w:basedOn w:val="Normal"/>
    <w:next w:val="Normal"/>
    <w:link w:val="Ttulo1Char"/>
    <w:uiPriority w:val="9"/>
    <w:qFormat/>
    <w:rsid w:val="00CA24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C71D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D62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2448"/>
    <w:rPr>
      <w:rFonts w:asciiTheme="majorHAnsi" w:eastAsiaTheme="majorEastAsia" w:hAnsiTheme="majorHAnsi" w:cstheme="majorBidi"/>
      <w:color w:val="365F91" w:themeColor="accent1" w:themeShade="BF"/>
      <w:sz w:val="32"/>
      <w:szCs w:val="32"/>
    </w:rPr>
  </w:style>
  <w:style w:type="paragraph" w:customStyle="1" w:styleId="Default">
    <w:name w:val="Default"/>
    <w:rsid w:val="00CA24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C71DEC"/>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C71DEC"/>
    <w:pPr>
      <w:ind w:left="720"/>
      <w:contextualSpacing/>
    </w:pPr>
  </w:style>
  <w:style w:type="paragraph" w:styleId="CabealhodoSumrio">
    <w:name w:val="TOC Heading"/>
    <w:basedOn w:val="Ttulo1"/>
    <w:next w:val="Normal"/>
    <w:uiPriority w:val="39"/>
    <w:unhideWhenUsed/>
    <w:qFormat/>
    <w:rsid w:val="00176D14"/>
    <w:pPr>
      <w:spacing w:before="480" w:line="276" w:lineRule="auto"/>
      <w:outlineLvl w:val="9"/>
    </w:pPr>
    <w:rPr>
      <w:b/>
      <w:bCs/>
      <w:sz w:val="28"/>
      <w:szCs w:val="28"/>
    </w:rPr>
  </w:style>
  <w:style w:type="paragraph" w:styleId="Sumrio2">
    <w:name w:val="toc 2"/>
    <w:basedOn w:val="Normal"/>
    <w:next w:val="Normal"/>
    <w:autoRedefine/>
    <w:uiPriority w:val="39"/>
    <w:unhideWhenUsed/>
    <w:rsid w:val="00176D14"/>
    <w:pPr>
      <w:spacing w:after="100"/>
      <w:ind w:left="220"/>
    </w:pPr>
  </w:style>
  <w:style w:type="character" w:styleId="Hyperlink">
    <w:name w:val="Hyperlink"/>
    <w:basedOn w:val="Fontepargpadro"/>
    <w:uiPriority w:val="99"/>
    <w:unhideWhenUsed/>
    <w:rsid w:val="00176D14"/>
    <w:rPr>
      <w:color w:val="0000FF" w:themeColor="hyperlink"/>
      <w:u w:val="single"/>
    </w:rPr>
  </w:style>
  <w:style w:type="paragraph" w:styleId="Textodebalo">
    <w:name w:val="Balloon Text"/>
    <w:basedOn w:val="Normal"/>
    <w:link w:val="TextodebaloChar"/>
    <w:uiPriority w:val="99"/>
    <w:semiHidden/>
    <w:unhideWhenUsed/>
    <w:rsid w:val="00176D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D14"/>
    <w:rPr>
      <w:rFonts w:ascii="Tahoma" w:hAnsi="Tahoma" w:cs="Tahoma"/>
      <w:sz w:val="16"/>
      <w:szCs w:val="16"/>
    </w:rPr>
  </w:style>
  <w:style w:type="paragraph" w:styleId="Sumrio1">
    <w:name w:val="toc 1"/>
    <w:basedOn w:val="Normal"/>
    <w:next w:val="Normal"/>
    <w:autoRedefine/>
    <w:uiPriority w:val="39"/>
    <w:unhideWhenUsed/>
    <w:rsid w:val="00176D14"/>
    <w:pPr>
      <w:spacing w:after="100"/>
    </w:pPr>
  </w:style>
  <w:style w:type="character" w:customStyle="1" w:styleId="apple-converted-space">
    <w:name w:val="apple-converted-space"/>
    <w:basedOn w:val="Fontepargpadro"/>
    <w:rsid w:val="00777D8E"/>
  </w:style>
  <w:style w:type="paragraph" w:customStyle="1" w:styleId="paragraph">
    <w:name w:val="paragraph"/>
    <w:basedOn w:val="Normal"/>
    <w:rsid w:val="00777D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77D8E"/>
  </w:style>
  <w:style w:type="character" w:customStyle="1" w:styleId="eop">
    <w:name w:val="eop"/>
    <w:basedOn w:val="Fontepargpadro"/>
    <w:rsid w:val="00777D8E"/>
  </w:style>
  <w:style w:type="character" w:customStyle="1" w:styleId="scx80696617">
    <w:name w:val="scx80696617"/>
    <w:basedOn w:val="Fontepargpadro"/>
    <w:rsid w:val="00777D8E"/>
  </w:style>
  <w:style w:type="paragraph" w:styleId="NormalWeb">
    <w:name w:val="Normal (Web)"/>
    <w:basedOn w:val="Normal"/>
    <w:uiPriority w:val="99"/>
    <w:unhideWhenUsed/>
    <w:rsid w:val="00D327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F49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49F6"/>
  </w:style>
  <w:style w:type="paragraph" w:styleId="Rodap">
    <w:name w:val="footer"/>
    <w:basedOn w:val="Normal"/>
    <w:link w:val="RodapChar"/>
    <w:uiPriority w:val="99"/>
    <w:unhideWhenUsed/>
    <w:rsid w:val="00FF49F6"/>
    <w:pPr>
      <w:tabs>
        <w:tab w:val="center" w:pos="4252"/>
        <w:tab w:val="right" w:pos="8504"/>
      </w:tabs>
      <w:spacing w:after="0" w:line="240" w:lineRule="auto"/>
    </w:pPr>
  </w:style>
  <w:style w:type="character" w:customStyle="1" w:styleId="RodapChar">
    <w:name w:val="Rodapé Char"/>
    <w:basedOn w:val="Fontepargpadro"/>
    <w:link w:val="Rodap"/>
    <w:uiPriority w:val="99"/>
    <w:rsid w:val="00FF49F6"/>
  </w:style>
  <w:style w:type="character" w:customStyle="1" w:styleId="Ttulo3Char">
    <w:name w:val="Título 3 Char"/>
    <w:basedOn w:val="Fontepargpadro"/>
    <w:link w:val="Ttulo3"/>
    <w:uiPriority w:val="9"/>
    <w:semiHidden/>
    <w:rsid w:val="000D6241"/>
    <w:rPr>
      <w:rFonts w:asciiTheme="majorHAnsi" w:eastAsiaTheme="majorEastAsia" w:hAnsiTheme="majorHAnsi" w:cstheme="majorBidi"/>
      <w:color w:val="243F60" w:themeColor="accent1" w:themeShade="7F"/>
      <w:sz w:val="24"/>
      <w:szCs w:val="24"/>
    </w:rPr>
  </w:style>
  <w:style w:type="table" w:styleId="Tabelacomgrade">
    <w:name w:val="Table Grid"/>
    <w:basedOn w:val="Tabelanormal"/>
    <w:uiPriority w:val="59"/>
    <w:rsid w:val="00A50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anslate">
    <w:name w:val="notranslate"/>
    <w:basedOn w:val="Fontepargpadro"/>
    <w:rsid w:val="00F5354B"/>
  </w:style>
  <w:style w:type="character" w:styleId="Refdecomentrio">
    <w:name w:val="annotation reference"/>
    <w:basedOn w:val="Fontepargpadro"/>
    <w:uiPriority w:val="99"/>
    <w:semiHidden/>
    <w:unhideWhenUsed/>
    <w:rsid w:val="00EE616A"/>
    <w:rPr>
      <w:sz w:val="16"/>
      <w:szCs w:val="16"/>
    </w:rPr>
  </w:style>
  <w:style w:type="paragraph" w:styleId="Textodecomentrio">
    <w:name w:val="annotation text"/>
    <w:basedOn w:val="Normal"/>
    <w:link w:val="TextodecomentrioChar"/>
    <w:uiPriority w:val="99"/>
    <w:semiHidden/>
    <w:unhideWhenUsed/>
    <w:rsid w:val="00EE616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616A"/>
    <w:rPr>
      <w:sz w:val="20"/>
      <w:szCs w:val="20"/>
    </w:rPr>
  </w:style>
  <w:style w:type="paragraph" w:styleId="Assuntodocomentrio">
    <w:name w:val="annotation subject"/>
    <w:basedOn w:val="Textodecomentrio"/>
    <w:next w:val="Textodecomentrio"/>
    <w:link w:val="AssuntodocomentrioChar"/>
    <w:uiPriority w:val="99"/>
    <w:semiHidden/>
    <w:unhideWhenUsed/>
    <w:rsid w:val="00EE616A"/>
    <w:rPr>
      <w:b/>
      <w:bCs/>
    </w:rPr>
  </w:style>
  <w:style w:type="character" w:customStyle="1" w:styleId="AssuntodocomentrioChar">
    <w:name w:val="Assunto do comentário Char"/>
    <w:basedOn w:val="TextodecomentrioChar"/>
    <w:link w:val="Assuntodocomentrio"/>
    <w:uiPriority w:val="99"/>
    <w:semiHidden/>
    <w:rsid w:val="00EE616A"/>
    <w:rPr>
      <w:b/>
      <w:bCs/>
      <w:sz w:val="20"/>
      <w:szCs w:val="20"/>
    </w:rPr>
  </w:style>
  <w:style w:type="paragraph" w:styleId="Reviso">
    <w:name w:val="Revision"/>
    <w:hidden/>
    <w:uiPriority w:val="99"/>
    <w:semiHidden/>
    <w:rsid w:val="004C1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7867">
      <w:bodyDiv w:val="1"/>
      <w:marLeft w:val="0"/>
      <w:marRight w:val="0"/>
      <w:marTop w:val="0"/>
      <w:marBottom w:val="0"/>
      <w:divBdr>
        <w:top w:val="none" w:sz="0" w:space="0" w:color="auto"/>
        <w:left w:val="none" w:sz="0" w:space="0" w:color="auto"/>
        <w:bottom w:val="none" w:sz="0" w:space="0" w:color="auto"/>
        <w:right w:val="none" w:sz="0" w:space="0" w:color="auto"/>
      </w:divBdr>
    </w:div>
    <w:div w:id="198902158">
      <w:bodyDiv w:val="1"/>
      <w:marLeft w:val="0"/>
      <w:marRight w:val="0"/>
      <w:marTop w:val="0"/>
      <w:marBottom w:val="0"/>
      <w:divBdr>
        <w:top w:val="none" w:sz="0" w:space="0" w:color="auto"/>
        <w:left w:val="none" w:sz="0" w:space="0" w:color="auto"/>
        <w:bottom w:val="none" w:sz="0" w:space="0" w:color="auto"/>
        <w:right w:val="none" w:sz="0" w:space="0" w:color="auto"/>
      </w:divBdr>
      <w:divsChild>
        <w:div w:id="1540510044">
          <w:marLeft w:val="0"/>
          <w:marRight w:val="0"/>
          <w:marTop w:val="0"/>
          <w:marBottom w:val="0"/>
          <w:divBdr>
            <w:top w:val="none" w:sz="0" w:space="0" w:color="auto"/>
            <w:left w:val="none" w:sz="0" w:space="0" w:color="auto"/>
            <w:bottom w:val="none" w:sz="0" w:space="0" w:color="auto"/>
            <w:right w:val="none" w:sz="0" w:space="0" w:color="auto"/>
          </w:divBdr>
        </w:div>
        <w:div w:id="1277565593">
          <w:marLeft w:val="0"/>
          <w:marRight w:val="0"/>
          <w:marTop w:val="0"/>
          <w:marBottom w:val="0"/>
          <w:divBdr>
            <w:top w:val="none" w:sz="0" w:space="0" w:color="auto"/>
            <w:left w:val="none" w:sz="0" w:space="0" w:color="auto"/>
            <w:bottom w:val="none" w:sz="0" w:space="0" w:color="auto"/>
            <w:right w:val="none" w:sz="0" w:space="0" w:color="auto"/>
          </w:divBdr>
        </w:div>
        <w:div w:id="1916815619">
          <w:marLeft w:val="0"/>
          <w:marRight w:val="0"/>
          <w:marTop w:val="0"/>
          <w:marBottom w:val="0"/>
          <w:divBdr>
            <w:top w:val="none" w:sz="0" w:space="0" w:color="auto"/>
            <w:left w:val="none" w:sz="0" w:space="0" w:color="auto"/>
            <w:bottom w:val="none" w:sz="0" w:space="0" w:color="auto"/>
            <w:right w:val="none" w:sz="0" w:space="0" w:color="auto"/>
          </w:divBdr>
        </w:div>
        <w:div w:id="457719288">
          <w:marLeft w:val="0"/>
          <w:marRight w:val="0"/>
          <w:marTop w:val="0"/>
          <w:marBottom w:val="0"/>
          <w:divBdr>
            <w:top w:val="none" w:sz="0" w:space="0" w:color="auto"/>
            <w:left w:val="none" w:sz="0" w:space="0" w:color="auto"/>
            <w:bottom w:val="none" w:sz="0" w:space="0" w:color="auto"/>
            <w:right w:val="none" w:sz="0" w:space="0" w:color="auto"/>
          </w:divBdr>
        </w:div>
        <w:div w:id="2137095914">
          <w:marLeft w:val="0"/>
          <w:marRight w:val="0"/>
          <w:marTop w:val="0"/>
          <w:marBottom w:val="0"/>
          <w:divBdr>
            <w:top w:val="none" w:sz="0" w:space="0" w:color="auto"/>
            <w:left w:val="none" w:sz="0" w:space="0" w:color="auto"/>
            <w:bottom w:val="none" w:sz="0" w:space="0" w:color="auto"/>
            <w:right w:val="none" w:sz="0" w:space="0" w:color="auto"/>
          </w:divBdr>
        </w:div>
        <w:div w:id="1925719377">
          <w:marLeft w:val="0"/>
          <w:marRight w:val="0"/>
          <w:marTop w:val="0"/>
          <w:marBottom w:val="0"/>
          <w:divBdr>
            <w:top w:val="none" w:sz="0" w:space="0" w:color="auto"/>
            <w:left w:val="none" w:sz="0" w:space="0" w:color="auto"/>
            <w:bottom w:val="none" w:sz="0" w:space="0" w:color="auto"/>
            <w:right w:val="none" w:sz="0" w:space="0" w:color="auto"/>
          </w:divBdr>
        </w:div>
        <w:div w:id="810636333">
          <w:marLeft w:val="0"/>
          <w:marRight w:val="0"/>
          <w:marTop w:val="0"/>
          <w:marBottom w:val="0"/>
          <w:divBdr>
            <w:top w:val="none" w:sz="0" w:space="0" w:color="auto"/>
            <w:left w:val="none" w:sz="0" w:space="0" w:color="auto"/>
            <w:bottom w:val="none" w:sz="0" w:space="0" w:color="auto"/>
            <w:right w:val="none" w:sz="0" w:space="0" w:color="auto"/>
          </w:divBdr>
        </w:div>
        <w:div w:id="1777795286">
          <w:marLeft w:val="0"/>
          <w:marRight w:val="0"/>
          <w:marTop w:val="0"/>
          <w:marBottom w:val="0"/>
          <w:divBdr>
            <w:top w:val="none" w:sz="0" w:space="0" w:color="auto"/>
            <w:left w:val="none" w:sz="0" w:space="0" w:color="auto"/>
            <w:bottom w:val="none" w:sz="0" w:space="0" w:color="auto"/>
            <w:ri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ace="0" w:color="auto"/>
          </w:divBdr>
        </w:div>
      </w:divsChild>
    </w:div>
    <w:div w:id="216818212">
      <w:bodyDiv w:val="1"/>
      <w:marLeft w:val="0"/>
      <w:marRight w:val="0"/>
      <w:marTop w:val="0"/>
      <w:marBottom w:val="0"/>
      <w:divBdr>
        <w:top w:val="none" w:sz="0" w:space="0" w:color="auto"/>
        <w:left w:val="none" w:sz="0" w:space="0" w:color="auto"/>
        <w:bottom w:val="none" w:sz="0" w:space="0" w:color="auto"/>
        <w:right w:val="none" w:sz="0" w:space="0" w:color="auto"/>
      </w:divBdr>
    </w:div>
    <w:div w:id="436875788">
      <w:bodyDiv w:val="1"/>
      <w:marLeft w:val="0"/>
      <w:marRight w:val="0"/>
      <w:marTop w:val="0"/>
      <w:marBottom w:val="0"/>
      <w:divBdr>
        <w:top w:val="none" w:sz="0" w:space="0" w:color="auto"/>
        <w:left w:val="none" w:sz="0" w:space="0" w:color="auto"/>
        <w:bottom w:val="none" w:sz="0" w:space="0" w:color="auto"/>
        <w:right w:val="none" w:sz="0" w:space="0" w:color="auto"/>
      </w:divBdr>
    </w:div>
    <w:div w:id="4626187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400">
          <w:marLeft w:val="360"/>
          <w:marRight w:val="0"/>
          <w:marTop w:val="200"/>
          <w:marBottom w:val="0"/>
          <w:divBdr>
            <w:top w:val="none" w:sz="0" w:space="0" w:color="auto"/>
            <w:left w:val="none" w:sz="0" w:space="0" w:color="auto"/>
            <w:bottom w:val="none" w:sz="0" w:space="0" w:color="auto"/>
            <w:right w:val="none" w:sz="0" w:space="0" w:color="auto"/>
          </w:divBdr>
        </w:div>
      </w:divsChild>
    </w:div>
    <w:div w:id="473528951">
      <w:bodyDiv w:val="1"/>
      <w:marLeft w:val="0"/>
      <w:marRight w:val="0"/>
      <w:marTop w:val="0"/>
      <w:marBottom w:val="0"/>
      <w:divBdr>
        <w:top w:val="none" w:sz="0" w:space="0" w:color="auto"/>
        <w:left w:val="none" w:sz="0" w:space="0" w:color="auto"/>
        <w:bottom w:val="none" w:sz="0" w:space="0" w:color="auto"/>
        <w:right w:val="none" w:sz="0" w:space="0" w:color="auto"/>
      </w:divBdr>
    </w:div>
    <w:div w:id="586115864">
      <w:bodyDiv w:val="1"/>
      <w:marLeft w:val="0"/>
      <w:marRight w:val="0"/>
      <w:marTop w:val="0"/>
      <w:marBottom w:val="0"/>
      <w:divBdr>
        <w:top w:val="none" w:sz="0" w:space="0" w:color="auto"/>
        <w:left w:val="none" w:sz="0" w:space="0" w:color="auto"/>
        <w:bottom w:val="none" w:sz="0" w:space="0" w:color="auto"/>
        <w:right w:val="none" w:sz="0" w:space="0" w:color="auto"/>
      </w:divBdr>
    </w:div>
    <w:div w:id="613440627">
      <w:bodyDiv w:val="1"/>
      <w:marLeft w:val="0"/>
      <w:marRight w:val="0"/>
      <w:marTop w:val="0"/>
      <w:marBottom w:val="0"/>
      <w:divBdr>
        <w:top w:val="none" w:sz="0" w:space="0" w:color="auto"/>
        <w:left w:val="none" w:sz="0" w:space="0" w:color="auto"/>
        <w:bottom w:val="none" w:sz="0" w:space="0" w:color="auto"/>
        <w:right w:val="none" w:sz="0" w:space="0" w:color="auto"/>
      </w:divBdr>
    </w:div>
    <w:div w:id="640814320">
      <w:bodyDiv w:val="1"/>
      <w:marLeft w:val="0"/>
      <w:marRight w:val="0"/>
      <w:marTop w:val="0"/>
      <w:marBottom w:val="0"/>
      <w:divBdr>
        <w:top w:val="none" w:sz="0" w:space="0" w:color="auto"/>
        <w:left w:val="none" w:sz="0" w:space="0" w:color="auto"/>
        <w:bottom w:val="none" w:sz="0" w:space="0" w:color="auto"/>
        <w:right w:val="none" w:sz="0" w:space="0" w:color="auto"/>
      </w:divBdr>
    </w:div>
    <w:div w:id="834496276">
      <w:bodyDiv w:val="1"/>
      <w:marLeft w:val="0"/>
      <w:marRight w:val="0"/>
      <w:marTop w:val="0"/>
      <w:marBottom w:val="0"/>
      <w:divBdr>
        <w:top w:val="none" w:sz="0" w:space="0" w:color="auto"/>
        <w:left w:val="none" w:sz="0" w:space="0" w:color="auto"/>
        <w:bottom w:val="none" w:sz="0" w:space="0" w:color="auto"/>
        <w:right w:val="none" w:sz="0" w:space="0" w:color="auto"/>
      </w:divBdr>
    </w:div>
    <w:div w:id="873467564">
      <w:bodyDiv w:val="1"/>
      <w:marLeft w:val="0"/>
      <w:marRight w:val="0"/>
      <w:marTop w:val="0"/>
      <w:marBottom w:val="0"/>
      <w:divBdr>
        <w:top w:val="none" w:sz="0" w:space="0" w:color="auto"/>
        <w:left w:val="none" w:sz="0" w:space="0" w:color="auto"/>
        <w:bottom w:val="none" w:sz="0" w:space="0" w:color="auto"/>
        <w:right w:val="none" w:sz="0" w:space="0" w:color="auto"/>
      </w:divBdr>
    </w:div>
    <w:div w:id="1003777146">
      <w:bodyDiv w:val="1"/>
      <w:marLeft w:val="0"/>
      <w:marRight w:val="0"/>
      <w:marTop w:val="0"/>
      <w:marBottom w:val="0"/>
      <w:divBdr>
        <w:top w:val="none" w:sz="0" w:space="0" w:color="auto"/>
        <w:left w:val="none" w:sz="0" w:space="0" w:color="auto"/>
        <w:bottom w:val="none" w:sz="0" w:space="0" w:color="auto"/>
        <w:right w:val="none" w:sz="0" w:space="0" w:color="auto"/>
      </w:divBdr>
    </w:div>
    <w:div w:id="1076512421">
      <w:bodyDiv w:val="1"/>
      <w:marLeft w:val="0"/>
      <w:marRight w:val="0"/>
      <w:marTop w:val="0"/>
      <w:marBottom w:val="0"/>
      <w:divBdr>
        <w:top w:val="none" w:sz="0" w:space="0" w:color="auto"/>
        <w:left w:val="none" w:sz="0" w:space="0" w:color="auto"/>
        <w:bottom w:val="none" w:sz="0" w:space="0" w:color="auto"/>
        <w:right w:val="none" w:sz="0" w:space="0" w:color="auto"/>
      </w:divBdr>
    </w:div>
    <w:div w:id="1225792585">
      <w:bodyDiv w:val="1"/>
      <w:marLeft w:val="0"/>
      <w:marRight w:val="0"/>
      <w:marTop w:val="0"/>
      <w:marBottom w:val="0"/>
      <w:divBdr>
        <w:top w:val="none" w:sz="0" w:space="0" w:color="auto"/>
        <w:left w:val="none" w:sz="0" w:space="0" w:color="auto"/>
        <w:bottom w:val="none" w:sz="0" w:space="0" w:color="auto"/>
        <w:right w:val="none" w:sz="0" w:space="0" w:color="auto"/>
      </w:divBdr>
    </w:div>
    <w:div w:id="1330794979">
      <w:bodyDiv w:val="1"/>
      <w:marLeft w:val="0"/>
      <w:marRight w:val="0"/>
      <w:marTop w:val="0"/>
      <w:marBottom w:val="0"/>
      <w:divBdr>
        <w:top w:val="none" w:sz="0" w:space="0" w:color="auto"/>
        <w:left w:val="none" w:sz="0" w:space="0" w:color="auto"/>
        <w:bottom w:val="none" w:sz="0" w:space="0" w:color="auto"/>
        <w:right w:val="none" w:sz="0" w:space="0" w:color="auto"/>
      </w:divBdr>
    </w:div>
    <w:div w:id="1403261343">
      <w:bodyDiv w:val="1"/>
      <w:marLeft w:val="0"/>
      <w:marRight w:val="0"/>
      <w:marTop w:val="0"/>
      <w:marBottom w:val="0"/>
      <w:divBdr>
        <w:top w:val="none" w:sz="0" w:space="0" w:color="auto"/>
        <w:left w:val="none" w:sz="0" w:space="0" w:color="auto"/>
        <w:bottom w:val="none" w:sz="0" w:space="0" w:color="auto"/>
        <w:right w:val="none" w:sz="0" w:space="0" w:color="auto"/>
      </w:divBdr>
    </w:div>
    <w:div w:id="1410883405">
      <w:bodyDiv w:val="1"/>
      <w:marLeft w:val="0"/>
      <w:marRight w:val="0"/>
      <w:marTop w:val="0"/>
      <w:marBottom w:val="0"/>
      <w:divBdr>
        <w:top w:val="none" w:sz="0" w:space="0" w:color="auto"/>
        <w:left w:val="none" w:sz="0" w:space="0" w:color="auto"/>
        <w:bottom w:val="none" w:sz="0" w:space="0" w:color="auto"/>
        <w:right w:val="none" w:sz="0" w:space="0" w:color="auto"/>
      </w:divBdr>
    </w:div>
    <w:div w:id="1454471796">
      <w:bodyDiv w:val="1"/>
      <w:marLeft w:val="0"/>
      <w:marRight w:val="0"/>
      <w:marTop w:val="0"/>
      <w:marBottom w:val="0"/>
      <w:divBdr>
        <w:top w:val="none" w:sz="0" w:space="0" w:color="auto"/>
        <w:left w:val="none" w:sz="0" w:space="0" w:color="auto"/>
        <w:bottom w:val="none" w:sz="0" w:space="0" w:color="auto"/>
        <w:right w:val="none" w:sz="0" w:space="0" w:color="auto"/>
      </w:divBdr>
    </w:div>
    <w:div w:id="1522665423">
      <w:bodyDiv w:val="1"/>
      <w:marLeft w:val="0"/>
      <w:marRight w:val="0"/>
      <w:marTop w:val="0"/>
      <w:marBottom w:val="0"/>
      <w:divBdr>
        <w:top w:val="none" w:sz="0" w:space="0" w:color="auto"/>
        <w:left w:val="none" w:sz="0" w:space="0" w:color="auto"/>
        <w:bottom w:val="none" w:sz="0" w:space="0" w:color="auto"/>
        <w:right w:val="none" w:sz="0" w:space="0" w:color="auto"/>
      </w:divBdr>
    </w:div>
    <w:div w:id="1589461650">
      <w:bodyDiv w:val="1"/>
      <w:marLeft w:val="0"/>
      <w:marRight w:val="0"/>
      <w:marTop w:val="0"/>
      <w:marBottom w:val="0"/>
      <w:divBdr>
        <w:top w:val="none" w:sz="0" w:space="0" w:color="auto"/>
        <w:left w:val="none" w:sz="0" w:space="0" w:color="auto"/>
        <w:bottom w:val="none" w:sz="0" w:space="0" w:color="auto"/>
        <w:right w:val="none" w:sz="0" w:space="0" w:color="auto"/>
      </w:divBdr>
    </w:div>
    <w:div w:id="1639993156">
      <w:bodyDiv w:val="1"/>
      <w:marLeft w:val="0"/>
      <w:marRight w:val="0"/>
      <w:marTop w:val="0"/>
      <w:marBottom w:val="0"/>
      <w:divBdr>
        <w:top w:val="none" w:sz="0" w:space="0" w:color="auto"/>
        <w:left w:val="none" w:sz="0" w:space="0" w:color="auto"/>
        <w:bottom w:val="none" w:sz="0" w:space="0" w:color="auto"/>
        <w:right w:val="none" w:sz="0" w:space="0" w:color="auto"/>
      </w:divBdr>
    </w:div>
    <w:div w:id="1774939918">
      <w:bodyDiv w:val="1"/>
      <w:marLeft w:val="0"/>
      <w:marRight w:val="0"/>
      <w:marTop w:val="0"/>
      <w:marBottom w:val="0"/>
      <w:divBdr>
        <w:top w:val="none" w:sz="0" w:space="0" w:color="auto"/>
        <w:left w:val="none" w:sz="0" w:space="0" w:color="auto"/>
        <w:bottom w:val="none" w:sz="0" w:space="0" w:color="auto"/>
        <w:right w:val="none" w:sz="0" w:space="0" w:color="auto"/>
      </w:divBdr>
      <w:divsChild>
        <w:div w:id="381632529">
          <w:marLeft w:val="0"/>
          <w:marRight w:val="0"/>
          <w:marTop w:val="0"/>
          <w:marBottom w:val="0"/>
          <w:divBdr>
            <w:top w:val="none" w:sz="0" w:space="0" w:color="auto"/>
            <w:left w:val="none" w:sz="0" w:space="0" w:color="auto"/>
            <w:bottom w:val="none" w:sz="0" w:space="0" w:color="auto"/>
            <w:right w:val="none" w:sz="0" w:space="0" w:color="auto"/>
          </w:divBdr>
        </w:div>
      </w:divsChild>
    </w:div>
    <w:div w:id="1958950384">
      <w:bodyDiv w:val="1"/>
      <w:marLeft w:val="0"/>
      <w:marRight w:val="0"/>
      <w:marTop w:val="0"/>
      <w:marBottom w:val="0"/>
      <w:divBdr>
        <w:top w:val="none" w:sz="0" w:space="0" w:color="auto"/>
        <w:left w:val="none" w:sz="0" w:space="0" w:color="auto"/>
        <w:bottom w:val="none" w:sz="0" w:space="0" w:color="auto"/>
        <w:right w:val="none" w:sz="0" w:space="0" w:color="auto"/>
      </w:divBdr>
    </w:div>
    <w:div w:id="2048219174">
      <w:bodyDiv w:val="1"/>
      <w:marLeft w:val="0"/>
      <w:marRight w:val="0"/>
      <w:marTop w:val="0"/>
      <w:marBottom w:val="0"/>
      <w:divBdr>
        <w:top w:val="none" w:sz="0" w:space="0" w:color="auto"/>
        <w:left w:val="none" w:sz="0" w:space="0" w:color="auto"/>
        <w:bottom w:val="none" w:sz="0" w:space="0" w:color="auto"/>
        <w:right w:val="none" w:sz="0" w:space="0" w:color="auto"/>
      </w:divBdr>
    </w:div>
    <w:div w:id="2056418365">
      <w:bodyDiv w:val="1"/>
      <w:marLeft w:val="0"/>
      <w:marRight w:val="0"/>
      <w:marTop w:val="0"/>
      <w:marBottom w:val="0"/>
      <w:divBdr>
        <w:top w:val="none" w:sz="0" w:space="0" w:color="auto"/>
        <w:left w:val="none" w:sz="0" w:space="0" w:color="auto"/>
        <w:bottom w:val="none" w:sz="0" w:space="0" w:color="auto"/>
        <w:right w:val="none" w:sz="0" w:space="0" w:color="auto"/>
      </w:divBdr>
      <w:divsChild>
        <w:div w:id="1235774012">
          <w:marLeft w:val="0"/>
          <w:marRight w:val="0"/>
          <w:marTop w:val="0"/>
          <w:marBottom w:val="0"/>
          <w:divBdr>
            <w:top w:val="none" w:sz="0" w:space="0" w:color="auto"/>
            <w:left w:val="none" w:sz="0" w:space="0" w:color="auto"/>
            <w:bottom w:val="none" w:sz="0" w:space="0" w:color="auto"/>
            <w:right w:val="none" w:sz="0" w:space="0" w:color="auto"/>
          </w:divBdr>
          <w:divsChild>
            <w:div w:id="1518232048">
              <w:marLeft w:val="0"/>
              <w:marRight w:val="0"/>
              <w:marTop w:val="0"/>
              <w:marBottom w:val="0"/>
              <w:divBdr>
                <w:top w:val="none" w:sz="0" w:space="0" w:color="auto"/>
                <w:left w:val="none" w:sz="0" w:space="0" w:color="auto"/>
                <w:bottom w:val="none" w:sz="0" w:space="0" w:color="auto"/>
                <w:right w:val="none" w:sz="0" w:space="0" w:color="auto"/>
              </w:divBdr>
              <w:divsChild>
                <w:div w:id="878903515">
                  <w:marLeft w:val="0"/>
                  <w:marRight w:val="0"/>
                  <w:marTop w:val="0"/>
                  <w:marBottom w:val="0"/>
                  <w:divBdr>
                    <w:top w:val="none" w:sz="0" w:space="0" w:color="auto"/>
                    <w:left w:val="none" w:sz="0" w:space="0" w:color="auto"/>
                    <w:bottom w:val="none" w:sz="0" w:space="0" w:color="auto"/>
                    <w:right w:val="none" w:sz="0" w:space="0" w:color="auto"/>
                  </w:divBdr>
                  <w:divsChild>
                    <w:div w:id="1729959338">
                      <w:marLeft w:val="0"/>
                      <w:marRight w:val="0"/>
                      <w:marTop w:val="0"/>
                      <w:marBottom w:val="0"/>
                      <w:divBdr>
                        <w:top w:val="none" w:sz="0" w:space="0" w:color="auto"/>
                        <w:left w:val="none" w:sz="0" w:space="0" w:color="auto"/>
                        <w:bottom w:val="none" w:sz="0" w:space="0" w:color="auto"/>
                        <w:right w:val="none" w:sz="0" w:space="0" w:color="auto"/>
                      </w:divBdr>
                      <w:divsChild>
                        <w:div w:id="1199971209">
                          <w:marLeft w:val="0"/>
                          <w:marRight w:val="0"/>
                          <w:marTop w:val="0"/>
                          <w:marBottom w:val="0"/>
                          <w:divBdr>
                            <w:top w:val="none" w:sz="0" w:space="0" w:color="auto"/>
                            <w:left w:val="none" w:sz="0" w:space="0" w:color="auto"/>
                            <w:bottom w:val="none" w:sz="0" w:space="0" w:color="auto"/>
                            <w:right w:val="none" w:sz="0" w:space="0" w:color="auto"/>
                          </w:divBdr>
                          <w:divsChild>
                            <w:div w:id="472985098">
                              <w:marLeft w:val="0"/>
                              <w:marRight w:val="0"/>
                              <w:marTop w:val="0"/>
                              <w:marBottom w:val="0"/>
                              <w:divBdr>
                                <w:top w:val="none" w:sz="0" w:space="0" w:color="auto"/>
                                <w:left w:val="none" w:sz="0" w:space="0" w:color="auto"/>
                                <w:bottom w:val="none" w:sz="0" w:space="0" w:color="auto"/>
                                <w:right w:val="none" w:sz="0" w:space="0" w:color="auto"/>
                              </w:divBdr>
                              <w:divsChild>
                                <w:div w:id="736518742">
                                  <w:marLeft w:val="0"/>
                                  <w:marRight w:val="0"/>
                                  <w:marTop w:val="0"/>
                                  <w:marBottom w:val="0"/>
                                  <w:divBdr>
                                    <w:top w:val="none" w:sz="0" w:space="0" w:color="auto"/>
                                    <w:left w:val="none" w:sz="0" w:space="0" w:color="auto"/>
                                    <w:bottom w:val="none" w:sz="0" w:space="0" w:color="auto"/>
                                    <w:right w:val="none" w:sz="0" w:space="0" w:color="auto"/>
                                  </w:divBdr>
                                  <w:divsChild>
                                    <w:div w:id="35394195">
                                      <w:marLeft w:val="0"/>
                                      <w:marRight w:val="0"/>
                                      <w:marTop w:val="0"/>
                                      <w:marBottom w:val="0"/>
                                      <w:divBdr>
                                        <w:top w:val="none" w:sz="0" w:space="0" w:color="auto"/>
                                        <w:left w:val="none" w:sz="0" w:space="0" w:color="auto"/>
                                        <w:bottom w:val="none" w:sz="0" w:space="0" w:color="auto"/>
                                        <w:right w:val="none" w:sz="0" w:space="0" w:color="auto"/>
                                      </w:divBdr>
                                      <w:divsChild>
                                        <w:div w:id="726147278">
                                          <w:marLeft w:val="0"/>
                                          <w:marRight w:val="0"/>
                                          <w:marTop w:val="0"/>
                                          <w:marBottom w:val="0"/>
                                          <w:divBdr>
                                            <w:top w:val="none" w:sz="0" w:space="0" w:color="auto"/>
                                            <w:left w:val="none" w:sz="0" w:space="0" w:color="auto"/>
                                            <w:bottom w:val="none" w:sz="0" w:space="0" w:color="auto"/>
                                            <w:right w:val="none" w:sz="0" w:space="0" w:color="auto"/>
                                          </w:divBdr>
                                          <w:divsChild>
                                            <w:div w:id="782581148">
                                              <w:marLeft w:val="0"/>
                                              <w:marRight w:val="0"/>
                                              <w:marTop w:val="0"/>
                                              <w:marBottom w:val="0"/>
                                              <w:divBdr>
                                                <w:top w:val="none" w:sz="0" w:space="0" w:color="auto"/>
                                                <w:left w:val="none" w:sz="0" w:space="0" w:color="auto"/>
                                                <w:bottom w:val="none" w:sz="0" w:space="0" w:color="auto"/>
                                                <w:right w:val="none" w:sz="0" w:space="0" w:color="auto"/>
                                              </w:divBdr>
                                              <w:divsChild>
                                                <w:div w:id="17822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975783">
          <w:marLeft w:val="0"/>
          <w:marRight w:val="0"/>
          <w:marTop w:val="0"/>
          <w:marBottom w:val="0"/>
          <w:divBdr>
            <w:top w:val="none" w:sz="0" w:space="0" w:color="auto"/>
            <w:left w:val="none" w:sz="0" w:space="0" w:color="auto"/>
            <w:bottom w:val="none" w:sz="0" w:space="0" w:color="auto"/>
            <w:right w:val="none" w:sz="0" w:space="0" w:color="auto"/>
          </w:divBdr>
          <w:divsChild>
            <w:div w:id="1900941820">
              <w:marLeft w:val="0"/>
              <w:marRight w:val="0"/>
              <w:marTop w:val="0"/>
              <w:marBottom w:val="0"/>
              <w:divBdr>
                <w:top w:val="none" w:sz="0" w:space="0" w:color="auto"/>
                <w:left w:val="none" w:sz="0" w:space="0" w:color="auto"/>
                <w:bottom w:val="none" w:sz="0" w:space="0" w:color="auto"/>
                <w:right w:val="none" w:sz="0" w:space="0" w:color="auto"/>
              </w:divBdr>
              <w:divsChild>
                <w:div w:id="2133670479">
                  <w:marLeft w:val="0"/>
                  <w:marRight w:val="0"/>
                  <w:marTop w:val="0"/>
                  <w:marBottom w:val="0"/>
                  <w:divBdr>
                    <w:top w:val="none" w:sz="0" w:space="0" w:color="auto"/>
                    <w:left w:val="none" w:sz="0" w:space="0" w:color="auto"/>
                    <w:bottom w:val="none" w:sz="0" w:space="0" w:color="auto"/>
                    <w:right w:val="none" w:sz="0" w:space="0" w:color="auto"/>
                  </w:divBdr>
                  <w:divsChild>
                    <w:div w:id="1568539902">
                      <w:marLeft w:val="0"/>
                      <w:marRight w:val="0"/>
                      <w:marTop w:val="0"/>
                      <w:marBottom w:val="0"/>
                      <w:divBdr>
                        <w:top w:val="none" w:sz="0" w:space="0" w:color="auto"/>
                        <w:left w:val="none" w:sz="0" w:space="0" w:color="auto"/>
                        <w:bottom w:val="none" w:sz="0" w:space="0" w:color="auto"/>
                        <w:right w:val="none" w:sz="0" w:space="0" w:color="auto"/>
                      </w:divBdr>
                      <w:divsChild>
                        <w:div w:id="1092896618">
                          <w:marLeft w:val="0"/>
                          <w:marRight w:val="0"/>
                          <w:marTop w:val="0"/>
                          <w:marBottom w:val="0"/>
                          <w:divBdr>
                            <w:top w:val="none" w:sz="0" w:space="0" w:color="auto"/>
                            <w:left w:val="none" w:sz="0" w:space="0" w:color="auto"/>
                            <w:bottom w:val="single" w:sz="6" w:space="0" w:color="EBEBEB"/>
                            <w:right w:val="none" w:sz="0" w:space="0" w:color="auto"/>
                          </w:divBdr>
                          <w:divsChild>
                            <w:div w:id="751585654">
                              <w:marLeft w:val="0"/>
                              <w:marRight w:val="0"/>
                              <w:marTop w:val="0"/>
                              <w:marBottom w:val="0"/>
                              <w:divBdr>
                                <w:top w:val="none" w:sz="0" w:space="0" w:color="auto"/>
                                <w:left w:val="none" w:sz="0" w:space="0" w:color="auto"/>
                                <w:bottom w:val="none" w:sz="0" w:space="0" w:color="auto"/>
                                <w:right w:val="none" w:sz="0" w:space="0" w:color="auto"/>
                              </w:divBdr>
                              <w:divsChild>
                                <w:div w:id="1838106213">
                                  <w:marLeft w:val="0"/>
                                  <w:marRight w:val="0"/>
                                  <w:marTop w:val="0"/>
                                  <w:marBottom w:val="0"/>
                                  <w:divBdr>
                                    <w:top w:val="none" w:sz="0" w:space="0" w:color="auto"/>
                                    <w:left w:val="none" w:sz="0" w:space="0" w:color="auto"/>
                                    <w:bottom w:val="none" w:sz="0" w:space="0" w:color="auto"/>
                                    <w:right w:val="none" w:sz="0" w:space="0" w:color="auto"/>
                                  </w:divBdr>
                                  <w:divsChild>
                                    <w:div w:id="593246182">
                                      <w:marLeft w:val="0"/>
                                      <w:marRight w:val="0"/>
                                      <w:marTop w:val="0"/>
                                      <w:marBottom w:val="0"/>
                                      <w:divBdr>
                                        <w:top w:val="none" w:sz="0" w:space="0" w:color="auto"/>
                                        <w:left w:val="none" w:sz="0" w:space="0" w:color="auto"/>
                                        <w:bottom w:val="none" w:sz="0" w:space="0" w:color="auto"/>
                                        <w:right w:val="none" w:sz="0" w:space="0" w:color="auto"/>
                                      </w:divBdr>
                                      <w:divsChild>
                                        <w:div w:id="257756745">
                                          <w:marLeft w:val="0"/>
                                          <w:marRight w:val="0"/>
                                          <w:marTop w:val="0"/>
                                          <w:marBottom w:val="0"/>
                                          <w:divBdr>
                                            <w:top w:val="none" w:sz="0" w:space="0" w:color="auto"/>
                                            <w:left w:val="none" w:sz="0" w:space="0" w:color="auto"/>
                                            <w:bottom w:val="none" w:sz="0" w:space="0" w:color="auto"/>
                                            <w:right w:val="none" w:sz="0" w:space="0" w:color="auto"/>
                                          </w:divBdr>
                                          <w:divsChild>
                                            <w:div w:id="447431060">
                                              <w:marLeft w:val="0"/>
                                              <w:marRight w:val="0"/>
                                              <w:marTop w:val="0"/>
                                              <w:marBottom w:val="0"/>
                                              <w:divBdr>
                                                <w:top w:val="none" w:sz="0" w:space="0" w:color="auto"/>
                                                <w:left w:val="none" w:sz="0" w:space="0" w:color="auto"/>
                                                <w:bottom w:val="none" w:sz="0" w:space="0" w:color="auto"/>
                                                <w:right w:val="none" w:sz="0" w:space="0" w:color="auto"/>
                                              </w:divBdr>
                                              <w:divsChild>
                                                <w:div w:id="1172448903">
                                                  <w:marLeft w:val="0"/>
                                                  <w:marRight w:val="0"/>
                                                  <w:marTop w:val="0"/>
                                                  <w:marBottom w:val="0"/>
                                                  <w:divBdr>
                                                    <w:top w:val="none" w:sz="0" w:space="0" w:color="auto"/>
                                                    <w:left w:val="none" w:sz="0" w:space="0" w:color="auto"/>
                                                    <w:bottom w:val="none" w:sz="0" w:space="0" w:color="auto"/>
                                                    <w:right w:val="none" w:sz="0" w:space="0" w:color="auto"/>
                                                  </w:divBdr>
                                                  <w:divsChild>
                                                    <w:div w:id="932127831">
                                                      <w:marLeft w:val="2250"/>
                                                      <w:marRight w:val="0"/>
                                                      <w:marTop w:val="0"/>
                                                      <w:marBottom w:val="0"/>
                                                      <w:divBdr>
                                                        <w:top w:val="none" w:sz="0" w:space="0" w:color="auto"/>
                                                        <w:left w:val="none" w:sz="0" w:space="0" w:color="auto"/>
                                                        <w:bottom w:val="single" w:sz="18" w:space="9" w:color="4285F4"/>
                                                        <w:right w:val="none" w:sz="0" w:space="0" w:color="auto"/>
                                                      </w:divBdr>
                                                    </w:div>
                                                    <w:div w:id="849026031">
                                                      <w:marLeft w:val="0"/>
                                                      <w:marRight w:val="0"/>
                                                      <w:marTop w:val="0"/>
                                                      <w:marBottom w:val="0"/>
                                                      <w:divBdr>
                                                        <w:top w:val="none" w:sz="0" w:space="0" w:color="auto"/>
                                                        <w:left w:val="none" w:sz="0" w:space="0" w:color="auto"/>
                                                        <w:bottom w:val="none" w:sz="0" w:space="0" w:color="auto"/>
                                                        <w:right w:val="none" w:sz="0" w:space="0" w:color="auto"/>
                                                      </w:divBdr>
                                                    </w:div>
                                                    <w:div w:id="597761487">
                                                      <w:marLeft w:val="0"/>
                                                      <w:marRight w:val="0"/>
                                                      <w:marTop w:val="0"/>
                                                      <w:marBottom w:val="0"/>
                                                      <w:divBdr>
                                                        <w:top w:val="none" w:sz="0" w:space="0" w:color="auto"/>
                                                        <w:left w:val="none" w:sz="0" w:space="0" w:color="auto"/>
                                                        <w:bottom w:val="none" w:sz="0" w:space="0" w:color="auto"/>
                                                        <w:right w:val="none" w:sz="0" w:space="0" w:color="auto"/>
                                                      </w:divBdr>
                                                    </w:div>
                                                    <w:div w:id="250745975">
                                                      <w:marLeft w:val="0"/>
                                                      <w:marRight w:val="0"/>
                                                      <w:marTop w:val="0"/>
                                                      <w:marBottom w:val="0"/>
                                                      <w:divBdr>
                                                        <w:top w:val="none" w:sz="0" w:space="0" w:color="auto"/>
                                                        <w:left w:val="none" w:sz="0" w:space="0" w:color="auto"/>
                                                        <w:bottom w:val="none" w:sz="0" w:space="0" w:color="auto"/>
                                                        <w:right w:val="none" w:sz="0" w:space="0" w:color="auto"/>
                                                      </w:divBdr>
                                                    </w:div>
                                                    <w:div w:id="9080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63272">
      <w:bodyDiv w:val="1"/>
      <w:marLeft w:val="0"/>
      <w:marRight w:val="0"/>
      <w:marTop w:val="0"/>
      <w:marBottom w:val="0"/>
      <w:divBdr>
        <w:top w:val="none" w:sz="0" w:space="0" w:color="auto"/>
        <w:left w:val="none" w:sz="0" w:space="0" w:color="auto"/>
        <w:bottom w:val="none" w:sz="0" w:space="0" w:color="auto"/>
        <w:right w:val="none" w:sz="0" w:space="0" w:color="auto"/>
      </w:divBdr>
    </w:div>
    <w:div w:id="2080519092">
      <w:bodyDiv w:val="1"/>
      <w:marLeft w:val="0"/>
      <w:marRight w:val="0"/>
      <w:marTop w:val="0"/>
      <w:marBottom w:val="0"/>
      <w:divBdr>
        <w:top w:val="none" w:sz="0" w:space="0" w:color="auto"/>
        <w:left w:val="none" w:sz="0" w:space="0" w:color="auto"/>
        <w:bottom w:val="none" w:sz="0" w:space="0" w:color="auto"/>
        <w:right w:val="none" w:sz="0" w:space="0" w:color="auto"/>
      </w:divBdr>
    </w:div>
    <w:div w:id="21463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C8AC2F-DFBF-47BC-9BA4-C6778F8C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4266</Words>
  <Characters>23041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2018-05-03T22:33:00Z</dcterms:created>
  <dcterms:modified xsi:type="dcterms:W3CDTF">2018-05-03T22:33:00Z</dcterms:modified>
</cp:coreProperties>
</file>