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4F7" w:rsidRPr="004319E0" w:rsidRDefault="004324F7" w:rsidP="004324F7">
      <w:pPr>
        <w:pStyle w:val="PargrafodaLista"/>
        <w:spacing w:after="0" w:line="312" w:lineRule="auto"/>
        <w:ind w:left="0"/>
        <w:jc w:val="both"/>
        <w:rPr>
          <w:rFonts w:ascii="Arial" w:hAnsi="Arial" w:cs="Arial"/>
        </w:rPr>
      </w:pPr>
      <w:r w:rsidRPr="004319E0">
        <w:rPr>
          <w:rFonts w:ascii="Arial" w:hAnsi="Arial" w:cs="Arial"/>
        </w:rPr>
        <w:t xml:space="preserve">Tabela 2: Informações dos artigos referentes </w:t>
      </w:r>
      <w:proofErr w:type="gramStart"/>
      <w:r w:rsidRPr="004319E0">
        <w:rPr>
          <w:rFonts w:ascii="Arial" w:hAnsi="Arial" w:cs="Arial"/>
        </w:rPr>
        <w:t>a</w:t>
      </w:r>
      <w:proofErr w:type="gramEnd"/>
      <w:r w:rsidRPr="004319E0">
        <w:rPr>
          <w:rFonts w:ascii="Arial" w:hAnsi="Arial" w:cs="Arial"/>
        </w:rPr>
        <w:t xml:space="preserve"> metodologia utilizada, resultados e conclusões.</w:t>
      </w:r>
      <w:bookmarkStart w:id="0" w:name="_GoBack"/>
      <w:bookmarkEnd w:id="0"/>
    </w:p>
    <w:p w:rsidR="004324F7" w:rsidRPr="004319E0" w:rsidRDefault="004324F7" w:rsidP="004324F7">
      <w:pPr>
        <w:pStyle w:val="PargrafodaLista"/>
        <w:spacing w:after="0" w:line="312" w:lineRule="auto"/>
        <w:ind w:left="0"/>
        <w:jc w:val="both"/>
        <w:rPr>
          <w:rFonts w:ascii="Arial" w:hAnsi="Arial" w:cs="Arial"/>
        </w:rPr>
      </w:pPr>
    </w:p>
    <w:tbl>
      <w:tblPr>
        <w:tblW w:w="9073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77"/>
        <w:gridCol w:w="992"/>
        <w:gridCol w:w="1418"/>
        <w:gridCol w:w="1417"/>
        <w:gridCol w:w="2126"/>
        <w:gridCol w:w="1843"/>
      </w:tblGrid>
      <w:tr w:rsidR="004324F7" w:rsidRPr="004324F7" w:rsidTr="00F86889">
        <w:trPr>
          <w:trHeight w:val="422"/>
          <w:jc w:val="center"/>
        </w:trPr>
        <w:tc>
          <w:tcPr>
            <w:tcW w:w="1277" w:type="dxa"/>
            <w:shd w:val="clear" w:color="auto" w:fill="auto"/>
            <w:vAlign w:val="center"/>
            <w:hideMark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  <w:t>Autoria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  <w:t>Modelo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  <w:t>Tecido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  <w:t>Tipo de lesão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  <w:t>Resultados</w:t>
            </w:r>
          </w:p>
        </w:tc>
        <w:tc>
          <w:tcPr>
            <w:tcW w:w="1843" w:type="dxa"/>
            <w:vAlign w:val="center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:lang w:eastAsia="pt-BR"/>
              </w:rPr>
              <w:t>Conclusão</w:t>
            </w:r>
          </w:p>
        </w:tc>
      </w:tr>
      <w:tr w:rsidR="004324F7" w:rsidRPr="004324F7" w:rsidTr="00F86889">
        <w:trPr>
          <w:trHeight w:val="508"/>
          <w:jc w:val="center"/>
        </w:trPr>
        <w:tc>
          <w:tcPr>
            <w:tcW w:w="1277" w:type="dxa"/>
            <w:shd w:val="clear" w:color="auto" w:fill="auto"/>
            <w:hideMark/>
          </w:tcPr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Pantos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C.</w:t>
            </w:r>
          </w:p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992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Ratos</w:t>
            </w:r>
            <w:proofErr w:type="spellEnd"/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val="en-US" w:eastAsia="pt-BR"/>
              </w:rPr>
              <w:t>In vivo</w:t>
            </w:r>
          </w:p>
        </w:tc>
        <w:tc>
          <w:tcPr>
            <w:tcW w:w="1418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Miocárdio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Isquemia- reperfusão</w:t>
            </w:r>
          </w:p>
        </w:tc>
        <w:tc>
          <w:tcPr>
            <w:tcW w:w="2126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O hormônio T3 limitou as lesões por reperfusão, recuperando a função ventricular esquerda. Aumentou o percentual da pressão desenvolvida no ventrículo esquerdo (LVDP), diminui a pressão diastólica final e a liberação de LDH.</w:t>
            </w: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O T4 não apresentou efeitos.</w:t>
            </w:r>
          </w:p>
        </w:tc>
        <w:tc>
          <w:tcPr>
            <w:tcW w:w="1843" w:type="dxa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O T3 é capaz de proteger o miocárdio contra os efeitos da reperfusão. Este processo foi mediado, em parte pela ativação da via TRα</w:t>
            </w:r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1</w:t>
            </w:r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 Efeitos não foram observados com o hormônio T4.</w:t>
            </w:r>
          </w:p>
        </w:tc>
      </w:tr>
      <w:tr w:rsidR="004324F7" w:rsidRPr="004324F7" w:rsidTr="00F86889">
        <w:trPr>
          <w:trHeight w:val="508"/>
          <w:jc w:val="center"/>
        </w:trPr>
        <w:tc>
          <w:tcPr>
            <w:tcW w:w="1277" w:type="dxa"/>
            <w:shd w:val="clear" w:color="auto" w:fill="auto"/>
            <w:hideMark/>
          </w:tcPr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Sabih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D.</w:t>
            </w:r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;</w:t>
            </w:r>
          </w:p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Inayatullah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M.</w:t>
            </w:r>
          </w:p>
        </w:tc>
        <w:tc>
          <w:tcPr>
            <w:tcW w:w="992" w:type="dxa"/>
            <w:shd w:val="clear" w:color="auto" w:fill="auto"/>
          </w:tcPr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-----*</w:t>
            </w:r>
          </w:p>
        </w:tc>
        <w:tc>
          <w:tcPr>
            <w:tcW w:w="1418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Sistema cardiovascular</w:t>
            </w:r>
          </w:p>
        </w:tc>
        <w:tc>
          <w:tcPr>
            <w:tcW w:w="1417" w:type="dxa"/>
            <w:shd w:val="clear" w:color="auto" w:fill="auto"/>
          </w:tcPr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-----**</w:t>
            </w:r>
          </w:p>
        </w:tc>
        <w:tc>
          <w:tcPr>
            <w:tcW w:w="2126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Foram relatados diversos efeitos com alteração dos hormônios tireoidianos em situações como a gravidez, doenças coronarianas, diabetes, asma e Doença de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Addison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1843" w:type="dxa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O hipotireoidismo pode interferir durante a gestação acarretando problemas à mãe e ao feto, pode acelerar problemas cardiovasculares, aumentar a chance de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nefropatias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e retinopatias em diabéticos além de piorar o quadro clínico de asmáticos.</w:t>
            </w:r>
          </w:p>
        </w:tc>
      </w:tr>
      <w:tr w:rsidR="004324F7" w:rsidRPr="004324F7" w:rsidTr="00F86889">
        <w:trPr>
          <w:trHeight w:val="508"/>
          <w:jc w:val="center"/>
        </w:trPr>
        <w:tc>
          <w:tcPr>
            <w:tcW w:w="1277" w:type="dxa"/>
            <w:shd w:val="clear" w:color="auto" w:fill="auto"/>
            <w:hideMark/>
          </w:tcPr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Tiede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S.</w:t>
            </w:r>
          </w:p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et</w:t>
            </w:r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al.</w:t>
            </w:r>
          </w:p>
        </w:tc>
        <w:tc>
          <w:tcPr>
            <w:tcW w:w="992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Folículos pilosos do couro cabeludo humano </w:t>
            </w: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Ex</w:t>
            </w:r>
            <w:proofErr w:type="spellEnd"/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vivo</w:t>
            </w:r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e </w:t>
            </w: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In vitro</w:t>
            </w:r>
          </w:p>
        </w:tc>
        <w:tc>
          <w:tcPr>
            <w:tcW w:w="1418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Tecido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cartilaginoso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-----**</w:t>
            </w:r>
          </w:p>
        </w:tc>
        <w:tc>
          <w:tcPr>
            <w:tcW w:w="2126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T3 e T4 aumentam a atividade e expressão do gene promotor de KERATINA 15 em células tronco epiteliais de folículos pilosos de couro cabeludo em humanos adultos </w:t>
            </w:r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in situ</w:t>
            </w: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e </w:t>
            </w:r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in vitro</w:t>
            </w: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1843" w:type="dxa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Os efeitos dos hormônios da tireoide na estimulação das células tronco</w:t>
            </w:r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é subjacente, porém, estudos com K15 associados a células progenitoras podem elucidar o controle endócrino sobre células tronco epiteliais.</w:t>
            </w:r>
          </w:p>
        </w:tc>
      </w:tr>
      <w:tr w:rsidR="004324F7" w:rsidRPr="004324F7" w:rsidTr="00F86889">
        <w:trPr>
          <w:trHeight w:val="508"/>
          <w:jc w:val="center"/>
        </w:trPr>
        <w:tc>
          <w:tcPr>
            <w:tcW w:w="1277" w:type="dxa"/>
            <w:shd w:val="clear" w:color="auto" w:fill="auto"/>
            <w:hideMark/>
          </w:tcPr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Kassem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R.</w:t>
            </w:r>
          </w:p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992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Porcos da Guiné</w:t>
            </w: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In vivo</w:t>
            </w:r>
          </w:p>
        </w:tc>
        <w:tc>
          <w:tcPr>
            <w:tcW w:w="1418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Pele</w:t>
            </w:r>
          </w:p>
        </w:tc>
        <w:tc>
          <w:tcPr>
            <w:tcW w:w="1417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Ferida</w:t>
            </w:r>
          </w:p>
        </w:tc>
        <w:tc>
          <w:tcPr>
            <w:tcW w:w="2126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Houve diminuição na área superficial da ferida pela contração da lesão com o uso tópico de T3, além de aumentar o número de folículos capilares. Não foram observados efeitos com TSH.</w:t>
            </w:r>
          </w:p>
        </w:tc>
        <w:tc>
          <w:tcPr>
            <w:tcW w:w="1843" w:type="dxa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O T3 tópico promoveu a cicatrização da ferida pela contração da área da lesão, sendo o T3 importante tratamento para úlceras crônicas.</w:t>
            </w:r>
          </w:p>
        </w:tc>
      </w:tr>
      <w:tr w:rsidR="004324F7" w:rsidRPr="004324F7" w:rsidTr="00F86889">
        <w:trPr>
          <w:trHeight w:val="508"/>
          <w:jc w:val="center"/>
        </w:trPr>
        <w:tc>
          <w:tcPr>
            <w:tcW w:w="1277" w:type="dxa"/>
            <w:shd w:val="clear" w:color="auto" w:fill="auto"/>
            <w:hideMark/>
          </w:tcPr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Siponen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M.</w:t>
            </w:r>
          </w:p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et</w:t>
            </w:r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al.</w:t>
            </w:r>
          </w:p>
        </w:tc>
        <w:tc>
          <w:tcPr>
            <w:tcW w:w="992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Biópsia de Humanos</w:t>
            </w: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Ex</w:t>
            </w:r>
            <w:proofErr w:type="spellEnd"/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vivo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Tecido mole bucal</w:t>
            </w:r>
          </w:p>
        </w:tc>
        <w:tc>
          <w:tcPr>
            <w:tcW w:w="1417" w:type="dxa"/>
            <w:shd w:val="clear" w:color="auto" w:fill="auto"/>
          </w:tcPr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-----**</w:t>
            </w:r>
          </w:p>
        </w:tc>
        <w:tc>
          <w:tcPr>
            <w:tcW w:w="2126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As lesões analisadas apresentaram diversos aspectos morfológicos e em diferentes pontos da região bucal. Houve maior associação de líquen plano com hipotireoidismo. Não houve significância </w:t>
            </w: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lastRenderedPageBreak/>
              <w:t>estatística suficiente para comprovar a relação das lesões com o hipotireoidismo.</w:t>
            </w:r>
          </w:p>
        </w:tc>
        <w:tc>
          <w:tcPr>
            <w:tcW w:w="1843" w:type="dxa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lastRenderedPageBreak/>
              <w:t xml:space="preserve">Baseado no fato de que algumas doenças relacionadas à autoimunidade estão associadas a distúrbios na tireoide e o líquen plano ser doença </w:t>
            </w: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lastRenderedPageBreak/>
              <w:t xml:space="preserve">imunidade-mediada, foi </w:t>
            </w:r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levantada</w:t>
            </w:r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a hipótese de que houvesse associação entre estas patologias. Mais estudos devem ser realizados para comprovar este fato.</w:t>
            </w:r>
          </w:p>
        </w:tc>
      </w:tr>
      <w:tr w:rsidR="004324F7" w:rsidRPr="004324F7" w:rsidTr="00F86889">
        <w:trPr>
          <w:trHeight w:val="508"/>
          <w:jc w:val="center"/>
        </w:trPr>
        <w:tc>
          <w:tcPr>
            <w:tcW w:w="1277" w:type="dxa"/>
            <w:shd w:val="clear" w:color="auto" w:fill="auto"/>
          </w:tcPr>
          <w:p w:rsidR="004324F7" w:rsidRPr="004324F7" w:rsidRDefault="004324F7" w:rsidP="00F868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lastRenderedPageBreak/>
              <w:t>Santos G.B.S.</w:t>
            </w:r>
            <w:r w:rsidR="00F8688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et</w:t>
            </w:r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al.</w:t>
            </w:r>
          </w:p>
        </w:tc>
        <w:tc>
          <w:tcPr>
            <w:tcW w:w="992" w:type="dxa"/>
            <w:shd w:val="clear" w:color="auto" w:fill="auto"/>
          </w:tcPr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-----*</w:t>
            </w:r>
          </w:p>
        </w:tc>
        <w:tc>
          <w:tcPr>
            <w:tcW w:w="1418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Tecido mole bucal</w:t>
            </w:r>
          </w:p>
        </w:tc>
        <w:tc>
          <w:tcPr>
            <w:tcW w:w="1417" w:type="dxa"/>
            <w:shd w:val="clear" w:color="auto" w:fill="auto"/>
          </w:tcPr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-----**</w:t>
            </w:r>
          </w:p>
        </w:tc>
        <w:tc>
          <w:tcPr>
            <w:tcW w:w="2126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Por ser uma doença sistêmica, o hipotireoidismo pode acarretar o desenvolvimento de diversos problemas bucais, necessitando de cuidados especiais, principalmente em relação aos medicamentos usados.</w:t>
            </w:r>
          </w:p>
        </w:tc>
        <w:tc>
          <w:tcPr>
            <w:tcW w:w="1843" w:type="dxa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O hipotireoidismo interfere em vários processos bucais, portanto, o dentista deve escolher os procedimentos corretos na terapêutica para pacientes com hipotireoidismo.</w:t>
            </w:r>
          </w:p>
        </w:tc>
      </w:tr>
      <w:tr w:rsidR="004324F7" w:rsidRPr="004324F7" w:rsidTr="00F86889">
        <w:trPr>
          <w:trHeight w:val="508"/>
          <w:jc w:val="center"/>
        </w:trPr>
        <w:tc>
          <w:tcPr>
            <w:tcW w:w="1277" w:type="dxa"/>
            <w:shd w:val="clear" w:color="auto" w:fill="auto"/>
            <w:hideMark/>
          </w:tcPr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Zimmerman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E. </w:t>
            </w:r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et</w:t>
            </w:r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al.</w:t>
            </w:r>
          </w:p>
        </w:tc>
        <w:tc>
          <w:tcPr>
            <w:tcW w:w="992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Ratos</w:t>
            </w: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In vivo</w:t>
            </w:r>
          </w:p>
        </w:tc>
        <w:tc>
          <w:tcPr>
            <w:tcW w:w="1418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Tecido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cartilaginoso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Ferida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na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traqueia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Macroscopicamente ouve um bloqueio na sutura da ferida e microscopicamente foi observado aumento na duração da fase inflamatória bem como redução no conteúdo de colágeno.</w:t>
            </w:r>
          </w:p>
        </w:tc>
        <w:tc>
          <w:tcPr>
            <w:tcW w:w="1843" w:type="dxa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O hipotireoidismo influenciou o processo de cicatrização devido ao prolongamento da fase inflamatória e a diminuição na produção de colágeno, dificultando o processo de maturação e organização celular.</w:t>
            </w:r>
          </w:p>
        </w:tc>
      </w:tr>
      <w:tr w:rsidR="004324F7" w:rsidRPr="004324F7" w:rsidTr="00F86889">
        <w:trPr>
          <w:trHeight w:val="508"/>
          <w:jc w:val="center"/>
        </w:trPr>
        <w:tc>
          <w:tcPr>
            <w:tcW w:w="1277" w:type="dxa"/>
            <w:shd w:val="clear" w:color="auto" w:fill="auto"/>
            <w:hideMark/>
          </w:tcPr>
          <w:p w:rsidR="004324F7" w:rsidRPr="004324F7" w:rsidRDefault="004324F7" w:rsidP="00F8688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Basset J.H.D.</w:t>
            </w:r>
            <w:r w:rsidR="00F8688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992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Ratos</w:t>
            </w:r>
            <w:proofErr w:type="spellEnd"/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val="en-US" w:eastAsia="pt-BR"/>
              </w:rPr>
              <w:t>Ex vivo</w:t>
            </w:r>
          </w:p>
        </w:tc>
        <w:tc>
          <w:tcPr>
            <w:tcW w:w="1418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Tecido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ósseo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Fratura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óssea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Ratos com deficiência da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desiodase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2</w:t>
            </w:r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(D2) perdem a regulação do T3 intracelular, reduzindo a formação óssea devido ao hipotireoidismo atuar sobre os osteoblastos. Existe um grande processo de mineralização, porém de forma atenuada pela carência de D2 nos osteoblastos.</w:t>
            </w:r>
          </w:p>
        </w:tc>
        <w:tc>
          <w:tcPr>
            <w:tcW w:w="1843" w:type="dxa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O estudo demonstrou o importante papel da D2 nos osteoblastos, aumentando a resistência do osso e o processo correto de mineralização óssea.</w:t>
            </w:r>
          </w:p>
        </w:tc>
      </w:tr>
      <w:tr w:rsidR="004324F7" w:rsidRPr="004324F7" w:rsidTr="00F86889">
        <w:trPr>
          <w:trHeight w:val="508"/>
          <w:jc w:val="center"/>
        </w:trPr>
        <w:tc>
          <w:tcPr>
            <w:tcW w:w="1277" w:type="dxa"/>
            <w:shd w:val="clear" w:color="auto" w:fill="auto"/>
            <w:hideMark/>
          </w:tcPr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Dentice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M.</w:t>
            </w:r>
          </w:p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992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Ratos</w:t>
            </w:r>
            <w:proofErr w:type="spellEnd"/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val="en-US" w:eastAsia="pt-BR"/>
              </w:rPr>
              <w:t>In vitro</w:t>
            </w:r>
          </w:p>
        </w:tc>
        <w:tc>
          <w:tcPr>
            <w:tcW w:w="1418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Músculo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Injúria mecânica</w:t>
            </w:r>
          </w:p>
        </w:tc>
        <w:tc>
          <w:tcPr>
            <w:tcW w:w="2126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A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desiodase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2</w:t>
            </w:r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(D2) é essencial para a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miogênese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e regeneração muscular, pois, estimula a produção de T3 intracelular. A via </w:t>
            </w:r>
            <w:proofErr w:type="gramStart"/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FoxO3</w:t>
            </w:r>
            <w:proofErr w:type="gramEnd"/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/D2</w:t>
            </w: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foi evidenciada como molécula chave para a ativação da D2.</w:t>
            </w:r>
          </w:p>
        </w:tc>
        <w:tc>
          <w:tcPr>
            <w:tcW w:w="1843" w:type="dxa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A via </w:t>
            </w:r>
            <w:proofErr w:type="gramStart"/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FoxO3</w:t>
            </w:r>
            <w:proofErr w:type="gramEnd"/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/D2</w:t>
            </w: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aumenta as concentrações intracelulares do hormônios T3 no músculo, favorecendo o processo de regeneração muscular.</w:t>
            </w:r>
          </w:p>
        </w:tc>
      </w:tr>
      <w:tr w:rsidR="004324F7" w:rsidRPr="004324F7" w:rsidTr="00F86889">
        <w:trPr>
          <w:trHeight w:val="508"/>
          <w:jc w:val="center"/>
        </w:trPr>
        <w:tc>
          <w:tcPr>
            <w:tcW w:w="1277" w:type="dxa"/>
            <w:shd w:val="clear" w:color="auto" w:fill="auto"/>
            <w:hideMark/>
          </w:tcPr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Leal </w:t>
            </w:r>
            <w:r w:rsidR="00F8688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A</w:t>
            </w: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.L.R.C.</w:t>
            </w:r>
          </w:p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992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Ratos</w:t>
            </w: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Ex</w:t>
            </w:r>
            <w:proofErr w:type="spellEnd"/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vivo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Músculo</w:t>
            </w:r>
          </w:p>
        </w:tc>
        <w:tc>
          <w:tcPr>
            <w:tcW w:w="1417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Injúria mecânica</w:t>
            </w:r>
          </w:p>
        </w:tc>
        <w:tc>
          <w:tcPr>
            <w:tcW w:w="2126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Foi observado que o hormônio T3 regulou o processo de regeneração muscular, pela ativação das vias MAPK e dos fatores </w:t>
            </w:r>
            <w:proofErr w:type="spellStart"/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lastRenderedPageBreak/>
              <w:t>MyoD</w:t>
            </w:r>
            <w:proofErr w:type="spellEnd"/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e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myogenina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1843" w:type="dxa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lastRenderedPageBreak/>
              <w:t xml:space="preserve">Os hormônios da tireoide modulam a regeneração do músculo esquelético atuando no quadro </w:t>
            </w: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lastRenderedPageBreak/>
              <w:t xml:space="preserve">inflamatório e na ativação dos fatores </w:t>
            </w:r>
            <w:proofErr w:type="spellStart"/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MyoD</w:t>
            </w:r>
            <w:proofErr w:type="spellEnd"/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e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myogenina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.</w:t>
            </w:r>
          </w:p>
        </w:tc>
      </w:tr>
      <w:tr w:rsidR="004324F7" w:rsidRPr="004324F7" w:rsidTr="00F86889">
        <w:trPr>
          <w:trHeight w:val="481"/>
          <w:jc w:val="center"/>
        </w:trPr>
        <w:tc>
          <w:tcPr>
            <w:tcW w:w="1277" w:type="dxa"/>
            <w:shd w:val="clear" w:color="auto" w:fill="auto"/>
            <w:hideMark/>
          </w:tcPr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lastRenderedPageBreak/>
              <w:t>Panaite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P.A.; </w:t>
            </w:r>
          </w:p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Barak-Walter I.</w:t>
            </w:r>
          </w:p>
        </w:tc>
        <w:tc>
          <w:tcPr>
            <w:tcW w:w="992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Ratos</w:t>
            </w: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In vivo</w:t>
            </w:r>
          </w:p>
        </w:tc>
        <w:tc>
          <w:tcPr>
            <w:tcW w:w="1418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Nervos</w:t>
            </w:r>
          </w:p>
        </w:tc>
        <w:tc>
          <w:tcPr>
            <w:tcW w:w="1417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Transecção de nervos</w:t>
            </w:r>
          </w:p>
        </w:tc>
        <w:tc>
          <w:tcPr>
            <w:tcW w:w="2126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Houve melhora na marcha e na postura de ratos tratados com T3 aos 4-5 dias pós-lesão, e regeneração do nervo após 14 semanas. Além disso, houve a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reinervação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das placas terminais e aumento dos receptores de acetilcolina (</w:t>
            </w:r>
            <w:proofErr w:type="spellStart"/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AChRs</w:t>
            </w:r>
            <w:proofErr w:type="spellEnd"/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).</w:t>
            </w:r>
          </w:p>
        </w:tc>
        <w:tc>
          <w:tcPr>
            <w:tcW w:w="1843" w:type="dxa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Há evidencias que o T3 melhora o processo de restauração de estruturas da junção neuromuscular aumentando a transmissão sináptica.</w:t>
            </w:r>
          </w:p>
        </w:tc>
      </w:tr>
      <w:tr w:rsidR="004324F7" w:rsidRPr="004324F7" w:rsidTr="00F86889">
        <w:trPr>
          <w:trHeight w:val="454"/>
          <w:jc w:val="center"/>
        </w:trPr>
        <w:tc>
          <w:tcPr>
            <w:tcW w:w="1277" w:type="dxa"/>
            <w:shd w:val="clear" w:color="auto" w:fill="auto"/>
            <w:hideMark/>
          </w:tcPr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Papakostas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I.D.;</w:t>
            </w:r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 </w:t>
            </w:r>
            <w:proofErr w:type="spellStart"/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Machera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G.A.</w:t>
            </w:r>
          </w:p>
        </w:tc>
        <w:tc>
          <w:tcPr>
            <w:tcW w:w="992" w:type="dxa"/>
            <w:shd w:val="clear" w:color="auto" w:fill="auto"/>
          </w:tcPr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-----*</w:t>
            </w:r>
          </w:p>
        </w:tc>
        <w:tc>
          <w:tcPr>
            <w:tcW w:w="1418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Nervos</w:t>
            </w:r>
          </w:p>
        </w:tc>
        <w:tc>
          <w:tcPr>
            <w:tcW w:w="1417" w:type="dxa"/>
            <w:shd w:val="clear" w:color="auto" w:fill="auto"/>
          </w:tcPr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396431" w:rsidRDefault="00396431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-----**</w:t>
            </w:r>
          </w:p>
        </w:tc>
        <w:tc>
          <w:tcPr>
            <w:tcW w:w="2126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O T3 regulou o processo intracelular de resposta a estresse seja pela fosforilação das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quinases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reguladas por sinais extracelulares (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ERKs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) ou pela regulação das proteínas de choque térmico, aumentando a sobrevivência dos neurônios motores, sensoriais após a lesão promovendo a regeneração nervosa.</w:t>
            </w:r>
          </w:p>
        </w:tc>
        <w:tc>
          <w:tcPr>
            <w:tcW w:w="1843" w:type="dxa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T3 local atua de forma rápida e eficiente na ativação de mecanismo que promove a regeneração do nervo. Apesar da ação rápida do T3 sobre as estruturas alvo, estes hormônios produzem efeitos duradouros que promovem o processo de regeneração nervosa periférica.</w:t>
            </w:r>
          </w:p>
        </w:tc>
      </w:tr>
      <w:tr w:rsidR="004324F7" w:rsidRPr="004324F7" w:rsidTr="00F86889">
        <w:trPr>
          <w:trHeight w:val="508"/>
          <w:jc w:val="center"/>
        </w:trPr>
        <w:tc>
          <w:tcPr>
            <w:tcW w:w="1277" w:type="dxa"/>
            <w:shd w:val="clear" w:color="auto" w:fill="auto"/>
            <w:hideMark/>
          </w:tcPr>
          <w:p w:rsidR="004324F7" w:rsidRPr="004324F7" w:rsidRDefault="004324F7" w:rsidP="004324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Bhargava M.</w:t>
            </w: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et al.</w:t>
            </w:r>
          </w:p>
        </w:tc>
        <w:tc>
          <w:tcPr>
            <w:tcW w:w="992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Ratos</w:t>
            </w:r>
            <w:proofErr w:type="spellEnd"/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val="en-US" w:eastAsia="pt-BR"/>
              </w:rPr>
              <w:t>In vivo</w:t>
            </w: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e</w:t>
            </w: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val="en-US" w:eastAsia="pt-BR"/>
              </w:rPr>
            </w:pPr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val="en-US" w:eastAsia="pt-BR"/>
              </w:rPr>
              <w:t>In vitro</w:t>
            </w:r>
          </w:p>
        </w:tc>
        <w:tc>
          <w:tcPr>
            <w:tcW w:w="1418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Epitélio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alveolar</w:t>
            </w:r>
          </w:p>
        </w:tc>
        <w:tc>
          <w:tcPr>
            <w:tcW w:w="1417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Lesão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por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hiperóxia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Injeções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intraperitoniais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de T3 estimularam o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clearance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do fluido alveolar.</w:t>
            </w:r>
          </w:p>
        </w:tc>
        <w:tc>
          <w:tcPr>
            <w:tcW w:w="1843" w:type="dxa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T3 estimulou rápida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clearance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do fluido alveolar por ação direta no epitélio alveolar em pulmões normais e lesionados.</w:t>
            </w:r>
          </w:p>
        </w:tc>
      </w:tr>
      <w:tr w:rsidR="004324F7" w:rsidRPr="004324F7" w:rsidTr="00F86889">
        <w:trPr>
          <w:trHeight w:val="508"/>
          <w:jc w:val="center"/>
        </w:trPr>
        <w:tc>
          <w:tcPr>
            <w:tcW w:w="1277" w:type="dxa"/>
            <w:shd w:val="clear" w:color="auto" w:fill="auto"/>
            <w:hideMark/>
          </w:tcPr>
          <w:p w:rsidR="004324F7" w:rsidRPr="004324F7" w:rsidRDefault="004324F7" w:rsidP="00A12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Falzacappa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C.V. et al.</w:t>
            </w:r>
          </w:p>
        </w:tc>
        <w:tc>
          <w:tcPr>
            <w:tcW w:w="992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Ratos</w:t>
            </w:r>
          </w:p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i/>
                <w:color w:val="000000"/>
                <w:kern w:val="24"/>
                <w:sz w:val="18"/>
                <w:szCs w:val="18"/>
                <w:lang w:eastAsia="pt-BR"/>
              </w:rPr>
              <w:t>In vitro</w:t>
            </w:r>
          </w:p>
        </w:tc>
        <w:tc>
          <w:tcPr>
            <w:tcW w:w="1418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Ovário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</w:pP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Toxicid</w:t>
            </w:r>
            <w:r w:rsidR="00F8688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ade</w:t>
            </w:r>
            <w:proofErr w:type="spellEnd"/>
            <w:r w:rsidR="00F8688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="00F8688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induzida</w:t>
            </w:r>
            <w:proofErr w:type="spellEnd"/>
            <w:r w:rsidR="00F8688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="00F8688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por</w:t>
            </w:r>
            <w:proofErr w:type="spellEnd"/>
            <w:r w:rsidR="00F8688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="00F8688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US" w:eastAsia="pt-BR"/>
              </w:rPr>
              <w:t>quimioterápico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Houve aumento da necrose celular em células expostas somente ao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paclitaxel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(PTX) em relação às exposições ao PTX e T3, além da diminuição </w:t>
            </w:r>
            <w:proofErr w:type="gram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da apoptose</w:t>
            </w:r>
            <w:proofErr w:type="gram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e maior sobrevivência das células expostas ao PTX associado ao T3.</w:t>
            </w:r>
          </w:p>
        </w:tc>
        <w:tc>
          <w:tcPr>
            <w:tcW w:w="1843" w:type="dxa"/>
          </w:tcPr>
          <w:p w:rsidR="004324F7" w:rsidRPr="004324F7" w:rsidRDefault="004324F7" w:rsidP="00A12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</w:pPr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O estudo demonstrou que o hormônio T3 pode neutralizar o efeito letal do </w:t>
            </w:r>
            <w:proofErr w:type="spellStart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>Taxol</w:t>
            </w:r>
            <w:proofErr w:type="spellEnd"/>
            <w:r w:rsidRPr="004324F7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pt-BR"/>
              </w:rPr>
              <w:t xml:space="preserve"> sobre as células da granulosa do ovário.</w:t>
            </w:r>
          </w:p>
        </w:tc>
      </w:tr>
    </w:tbl>
    <w:p w:rsidR="004324F7" w:rsidRPr="004319E0" w:rsidRDefault="004324F7" w:rsidP="004324F7">
      <w:pPr>
        <w:pStyle w:val="PargrafodaLista"/>
        <w:spacing w:after="0" w:line="312" w:lineRule="auto"/>
        <w:ind w:left="0"/>
        <w:jc w:val="both"/>
        <w:rPr>
          <w:rFonts w:ascii="Arial" w:hAnsi="Arial" w:cs="Arial"/>
          <w:sz w:val="20"/>
          <w:szCs w:val="20"/>
        </w:rPr>
      </w:pPr>
      <w:r w:rsidRPr="004319E0">
        <w:rPr>
          <w:rFonts w:ascii="Arial" w:hAnsi="Arial" w:cs="Arial"/>
          <w:sz w:val="20"/>
          <w:szCs w:val="20"/>
        </w:rPr>
        <w:t>-----*: Não houve modelo de estudo, uma vez que são revisões de literatura; -----**: Não foi realizada lesão nos tecidos estudados.</w:t>
      </w:r>
    </w:p>
    <w:p w:rsidR="00E1577C" w:rsidRDefault="00F86889"/>
    <w:sectPr w:rsidR="00E157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4F7"/>
    <w:rsid w:val="00217442"/>
    <w:rsid w:val="00396431"/>
    <w:rsid w:val="004324F7"/>
    <w:rsid w:val="00956CA2"/>
    <w:rsid w:val="00DF1BBF"/>
    <w:rsid w:val="00F8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4F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324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4F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32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1029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Lazaro Medeiros</dc:creator>
  <cp:lastModifiedBy>Lazaro Medeiros</cp:lastModifiedBy>
  <cp:revision>3</cp:revision>
  <dcterms:created xsi:type="dcterms:W3CDTF">2016-12-07T21:34:00Z</dcterms:created>
  <dcterms:modified xsi:type="dcterms:W3CDTF">2016-12-07T21:57:00Z</dcterms:modified>
</cp:coreProperties>
</file>